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CE124" w14:textId="77777777" w:rsidR="00B53467" w:rsidRDefault="00871CC1" w:rsidP="002410CB">
      <w:pPr>
        <w:spacing w:after="0" w:line="240" w:lineRule="auto"/>
        <w:rPr>
          <w:b/>
        </w:rPr>
      </w:pPr>
      <w:r w:rsidRPr="00871CC1">
        <w:rPr>
          <w:b/>
        </w:rPr>
        <w:t>Notas Metodológicas Anexo 8-A:</w:t>
      </w:r>
    </w:p>
    <w:p w14:paraId="3CA5FC24" w14:textId="77777777" w:rsidR="00AF555C" w:rsidRDefault="00AF555C" w:rsidP="002410CB">
      <w:pPr>
        <w:spacing w:after="0" w:line="240" w:lineRule="auto"/>
        <w:rPr>
          <w:b/>
        </w:rPr>
      </w:pPr>
    </w:p>
    <w:p w14:paraId="46C6D7A8" w14:textId="77777777" w:rsidR="00871CC1" w:rsidRPr="000242BD" w:rsidRDefault="00871CC1" w:rsidP="002410CB">
      <w:pPr>
        <w:pStyle w:val="Prrafodelista"/>
        <w:numPr>
          <w:ilvl w:val="0"/>
          <w:numId w:val="2"/>
        </w:numPr>
        <w:spacing w:after="0" w:line="240" w:lineRule="auto"/>
        <w:ind w:left="340" w:hanging="340"/>
        <w:jc w:val="both"/>
        <w:rPr>
          <w:rFonts w:eastAsia="Times New Roman" w:cs="Arial"/>
          <w:lang w:eastAsia="es-PE"/>
        </w:rPr>
      </w:pPr>
      <w:r w:rsidRPr="000242BD">
        <w:rPr>
          <w:rFonts w:eastAsia="Times New Roman" w:cs="Arial"/>
          <w:lang w:eastAsia="es-PE"/>
        </w:rPr>
        <w:t>Por cada contrato u operación vigente</w:t>
      </w:r>
      <w:r w:rsidR="005E5504" w:rsidRPr="000242BD">
        <w:rPr>
          <w:rFonts w:eastAsia="Times New Roman" w:cs="Arial"/>
          <w:lang w:eastAsia="es-PE"/>
        </w:rPr>
        <w:t>.</w:t>
      </w:r>
    </w:p>
    <w:p w14:paraId="554C150E" w14:textId="77777777" w:rsidR="00871CC1" w:rsidRPr="000D742A" w:rsidRDefault="00871CC1" w:rsidP="002410CB">
      <w:pPr>
        <w:pStyle w:val="Prrafodelista"/>
        <w:numPr>
          <w:ilvl w:val="0"/>
          <w:numId w:val="2"/>
        </w:numPr>
        <w:spacing w:after="0" w:line="240" w:lineRule="auto"/>
        <w:ind w:left="340" w:hanging="340"/>
        <w:jc w:val="both"/>
        <w:rPr>
          <w:rFonts w:eastAsia="Times New Roman" w:cs="Arial"/>
          <w:lang w:eastAsia="es-PE"/>
        </w:rPr>
      </w:pPr>
      <w:r w:rsidRPr="000D742A">
        <w:rPr>
          <w:rFonts w:eastAsia="Times New Roman" w:cs="Arial"/>
          <w:lang w:eastAsia="es-PE"/>
        </w:rPr>
        <w:t xml:space="preserve">Excepto en la columna de Monto Nominal Pactado, </w:t>
      </w:r>
      <w:r w:rsidR="000C7D50" w:rsidRPr="000D742A">
        <w:rPr>
          <w:rFonts w:eastAsia="Times New Roman" w:cs="Arial"/>
          <w:lang w:eastAsia="es-PE"/>
        </w:rPr>
        <w:t>en la cual se reportará el importe</w:t>
      </w:r>
      <w:r w:rsidRPr="000D742A">
        <w:rPr>
          <w:rFonts w:eastAsia="Times New Roman" w:cs="Arial"/>
          <w:lang w:eastAsia="es-PE"/>
        </w:rPr>
        <w:t xml:space="preserve"> en la moneda pactada</w:t>
      </w:r>
      <w:r w:rsidR="000C7D50" w:rsidRPr="000D742A">
        <w:rPr>
          <w:rFonts w:eastAsia="Times New Roman" w:cs="Arial"/>
          <w:lang w:eastAsia="es-PE"/>
        </w:rPr>
        <w:t>.</w:t>
      </w:r>
    </w:p>
    <w:p w14:paraId="62D0AFCC" w14:textId="3648F4ED" w:rsidR="00871CC1" w:rsidRPr="000D742A" w:rsidRDefault="000D742A" w:rsidP="002410CB">
      <w:pPr>
        <w:pStyle w:val="Prrafodelista"/>
        <w:numPr>
          <w:ilvl w:val="0"/>
          <w:numId w:val="2"/>
        </w:numPr>
        <w:spacing w:after="0" w:line="240" w:lineRule="auto"/>
        <w:ind w:left="340" w:hanging="340"/>
        <w:jc w:val="both"/>
        <w:rPr>
          <w:rFonts w:ascii="Arial" w:eastAsia="Times New Roman" w:hAnsi="Arial" w:cs="Arial"/>
          <w:sz w:val="20"/>
          <w:szCs w:val="20"/>
          <w:lang w:eastAsia="es-PE"/>
        </w:rPr>
      </w:pPr>
      <w:r w:rsidRPr="000D742A">
        <w:t>Asignar un código a la operación para identificarla en el momento de netearla con otra operación. Indicar FWDC# para operaciones forward compra, FWDV# para operaciones forward venta, FUTC# para operaciones compra futuros, FUTV# para operaciones venta futuros, SWAPC# para operaciones swap compra, SWAPV# para operaciones swap venta, OPTCC# para compra de opciones call, OPTCV# para venta de opciones call, OPTPC# para compra de opciones put, OPTPV# para venta de opciones put  (e.g. FUTC1, OPTCC40).</w:t>
      </w:r>
    </w:p>
    <w:p w14:paraId="7AF50CA8" w14:textId="77777777" w:rsidR="00871CC1" w:rsidRPr="000D742A" w:rsidRDefault="00871CC1" w:rsidP="002410CB">
      <w:pPr>
        <w:pStyle w:val="Prrafodelista"/>
        <w:numPr>
          <w:ilvl w:val="0"/>
          <w:numId w:val="2"/>
        </w:numPr>
        <w:spacing w:after="0" w:line="240" w:lineRule="auto"/>
        <w:ind w:left="340" w:hanging="340"/>
        <w:jc w:val="both"/>
        <w:rPr>
          <w:rFonts w:eastAsia="Times New Roman" w:cs="Arial"/>
          <w:lang w:eastAsia="es-PE"/>
        </w:rPr>
      </w:pPr>
      <w:r w:rsidRPr="000D742A">
        <w:rPr>
          <w:rFonts w:eastAsia="Times New Roman" w:cs="Arial"/>
          <w:lang w:eastAsia="es-PE"/>
        </w:rPr>
        <w:t>Consignar el código ISO de la moneda pactada (de referencia)</w:t>
      </w:r>
      <w:r w:rsidR="00710B58" w:rsidRPr="000D742A">
        <w:rPr>
          <w:rFonts w:eastAsia="Times New Roman" w:cs="Arial"/>
          <w:lang w:eastAsia="es-PE"/>
        </w:rPr>
        <w:t xml:space="preserve"> (ISO 4217)</w:t>
      </w:r>
      <w:r w:rsidR="005E5504" w:rsidRPr="000D742A">
        <w:rPr>
          <w:rFonts w:eastAsia="Times New Roman" w:cs="Arial"/>
          <w:lang w:eastAsia="es-PE"/>
        </w:rPr>
        <w:t>.</w:t>
      </w:r>
    </w:p>
    <w:p w14:paraId="25F38A49" w14:textId="27E90A68" w:rsidR="00871CC1" w:rsidRPr="000D742A" w:rsidRDefault="00871CC1" w:rsidP="002410CB">
      <w:pPr>
        <w:pStyle w:val="Prrafodelista"/>
        <w:numPr>
          <w:ilvl w:val="0"/>
          <w:numId w:val="2"/>
        </w:numPr>
        <w:spacing w:after="0" w:line="240" w:lineRule="auto"/>
        <w:ind w:left="340" w:hanging="340"/>
        <w:jc w:val="both"/>
        <w:rPr>
          <w:rFonts w:eastAsia="Times New Roman" w:cs="Arial"/>
          <w:lang w:eastAsia="es-PE"/>
        </w:rPr>
      </w:pPr>
      <w:r w:rsidRPr="000D742A">
        <w:rPr>
          <w:rFonts w:eastAsia="Times New Roman" w:cs="Arial"/>
          <w:lang w:eastAsia="es-PE"/>
        </w:rPr>
        <w:t xml:space="preserve">Se descompondrá </w:t>
      </w:r>
      <w:r w:rsidRPr="00F61C8E">
        <w:rPr>
          <w:rFonts w:eastAsia="Times New Roman" w:cs="Arial"/>
          <w:color w:val="FF0000"/>
          <w:lang w:eastAsia="es-PE"/>
        </w:rPr>
        <w:t xml:space="preserve">el valor </w:t>
      </w:r>
      <w:r w:rsidR="001D0655" w:rsidRPr="00F61C8E">
        <w:rPr>
          <w:rFonts w:eastAsia="Times New Roman" w:cs="Arial"/>
          <w:color w:val="FF0000"/>
          <w:lang w:eastAsia="es-PE"/>
        </w:rPr>
        <w:t>razonable</w:t>
      </w:r>
      <w:r w:rsidRPr="00F61C8E">
        <w:rPr>
          <w:rFonts w:eastAsia="Times New Roman" w:cs="Arial"/>
          <w:color w:val="FF0000"/>
          <w:lang w:eastAsia="es-PE"/>
        </w:rPr>
        <w:t xml:space="preserve"> </w:t>
      </w:r>
      <w:r w:rsidRPr="000D742A">
        <w:rPr>
          <w:rFonts w:eastAsia="Times New Roman" w:cs="Arial"/>
          <w:lang w:eastAsia="es-PE"/>
        </w:rPr>
        <w:t>de las operaciones en dos posiciones, una larga y una corta, consignándose la siguiente información:</w:t>
      </w:r>
    </w:p>
    <w:p w14:paraId="0B0CD2BD" w14:textId="67E4EE1C"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F61C8E">
        <w:rPr>
          <w:rFonts w:eastAsia="Times New Roman" w:cs="Arial"/>
          <w:color w:val="FF0000"/>
          <w:lang w:eastAsia="es-PE"/>
        </w:rPr>
        <w:t>Valor</w:t>
      </w:r>
      <w:r w:rsidR="00F61C8E" w:rsidRPr="00F61C8E">
        <w:rPr>
          <w:rFonts w:eastAsia="Times New Roman" w:cs="Arial"/>
          <w:color w:val="FF0000"/>
          <w:lang w:eastAsia="es-PE"/>
        </w:rPr>
        <w:t xml:space="preserve"> </w:t>
      </w:r>
      <w:r w:rsidR="001D0655" w:rsidRPr="00F61C8E">
        <w:rPr>
          <w:rFonts w:eastAsia="Times New Roman" w:cs="Arial"/>
          <w:color w:val="FF0000"/>
          <w:lang w:eastAsia="es-PE"/>
        </w:rPr>
        <w:t>razonable</w:t>
      </w:r>
      <w:r w:rsidRPr="00F61C8E">
        <w:rPr>
          <w:rFonts w:eastAsia="Times New Roman" w:cs="Arial"/>
          <w:color w:val="FF0000"/>
          <w:lang w:eastAsia="es-PE"/>
        </w:rPr>
        <w:t xml:space="preserve"> </w:t>
      </w:r>
      <w:r w:rsidRPr="000D742A">
        <w:rPr>
          <w:rFonts w:eastAsia="Times New Roman" w:cs="Arial"/>
          <w:lang w:eastAsia="es-PE"/>
        </w:rPr>
        <w:t>de las posiciones larga y corta de la operación</w:t>
      </w:r>
      <w:r w:rsidR="005E5504" w:rsidRPr="000D742A">
        <w:rPr>
          <w:rFonts w:eastAsia="Times New Roman" w:cs="Arial"/>
          <w:lang w:eastAsia="es-PE"/>
        </w:rPr>
        <w:t>.</w:t>
      </w:r>
    </w:p>
    <w:p w14:paraId="05FD4354"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Duración de Macaulay de la</w:t>
      </w:r>
      <w:r w:rsidR="00813982" w:rsidRPr="000D742A">
        <w:rPr>
          <w:rFonts w:eastAsia="Times New Roman" w:cs="Arial"/>
          <w:lang w:eastAsia="es-PE"/>
        </w:rPr>
        <w:t>s</w:t>
      </w:r>
      <w:r w:rsidRPr="000D742A">
        <w:rPr>
          <w:rFonts w:eastAsia="Times New Roman" w:cs="Arial"/>
          <w:lang w:eastAsia="es-PE"/>
        </w:rPr>
        <w:t xml:space="preserve"> posiciones larga y corta de la operación</w:t>
      </w:r>
      <w:r w:rsidR="005E5504" w:rsidRPr="000D742A">
        <w:rPr>
          <w:rFonts w:eastAsia="Times New Roman" w:cs="Arial"/>
          <w:lang w:eastAsia="es-PE"/>
        </w:rPr>
        <w:t>.</w:t>
      </w:r>
      <w:r w:rsidRPr="000D742A">
        <w:rPr>
          <w:rFonts w:eastAsia="Times New Roman" w:cs="Arial"/>
          <w:lang w:eastAsia="es-PE"/>
        </w:rPr>
        <w:t xml:space="preserve"> </w:t>
      </w:r>
    </w:p>
    <w:p w14:paraId="600C9680"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Duración modificada de la</w:t>
      </w:r>
      <w:r w:rsidR="00813982" w:rsidRPr="000D742A">
        <w:rPr>
          <w:rFonts w:eastAsia="Times New Roman" w:cs="Arial"/>
          <w:lang w:eastAsia="es-PE"/>
        </w:rPr>
        <w:t>s</w:t>
      </w:r>
      <w:r w:rsidRPr="000D742A">
        <w:rPr>
          <w:rFonts w:eastAsia="Times New Roman" w:cs="Arial"/>
          <w:lang w:eastAsia="es-PE"/>
        </w:rPr>
        <w:t xml:space="preserve"> posiciones larga y corta de la operación</w:t>
      </w:r>
      <w:r w:rsidR="005E5504" w:rsidRPr="000D742A">
        <w:rPr>
          <w:rFonts w:eastAsia="Times New Roman" w:cs="Arial"/>
          <w:lang w:eastAsia="es-PE"/>
        </w:rPr>
        <w:t>.</w:t>
      </w:r>
      <w:r w:rsidRPr="000D742A">
        <w:rPr>
          <w:rFonts w:eastAsia="Times New Roman" w:cs="Arial"/>
          <w:lang w:eastAsia="es-PE"/>
        </w:rPr>
        <w:t xml:space="preserve"> </w:t>
      </w:r>
    </w:p>
    <w:p w14:paraId="5DF6940D" w14:textId="77777777" w:rsidR="00871CC1" w:rsidRPr="000D742A" w:rsidRDefault="00871CC1" w:rsidP="002410CB">
      <w:pPr>
        <w:pStyle w:val="Prrafodelista"/>
        <w:numPr>
          <w:ilvl w:val="0"/>
          <w:numId w:val="2"/>
        </w:numPr>
        <w:spacing w:after="0" w:line="240" w:lineRule="auto"/>
        <w:ind w:left="340" w:hanging="340"/>
        <w:jc w:val="both"/>
        <w:rPr>
          <w:rFonts w:eastAsia="Times New Roman" w:cs="Arial"/>
          <w:lang w:eastAsia="es-PE"/>
        </w:rPr>
      </w:pPr>
      <w:r w:rsidRPr="000D742A">
        <w:rPr>
          <w:rFonts w:eastAsia="Times New Roman" w:cs="Arial"/>
          <w:lang w:eastAsia="es-PE"/>
        </w:rPr>
        <w:t>Se debe describir la operación:</w:t>
      </w:r>
    </w:p>
    <w:p w14:paraId="579A919C"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En caso de una operación Forward, Swap o Futuro especificar la moneda que se entrega y se  recibe al vencimiento</w:t>
      </w:r>
      <w:r w:rsidR="005E5504" w:rsidRPr="000D742A">
        <w:rPr>
          <w:rFonts w:eastAsia="Times New Roman" w:cs="Arial"/>
          <w:lang w:eastAsia="es-PE"/>
        </w:rPr>
        <w:t>.</w:t>
      </w:r>
    </w:p>
    <w:p w14:paraId="5FD0F42C"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En caso de una operación con Opciones de Moneda Extranjera, especificar la moneda que se entrega, la moneda que se recibe al vencimiento y si es a término (europea (E)) o adelantada (americana (A))</w:t>
      </w:r>
    </w:p>
    <w:p w14:paraId="6E342867"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En caso de un FRA o Swap de Tasas de Interés, detallar la tasa de interés que se recibe, la tasa de interés que se paga, y la moneda a la que se aplican.</w:t>
      </w:r>
    </w:p>
    <w:p w14:paraId="61FEF140"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En caso de una Opción con Tasas de interés, detallar la tasa de interés subyacente, la moneda a la que se aplica e indicar si se trata de una opción cap (C) o floor (F)</w:t>
      </w:r>
      <w:r w:rsidR="005E5504" w:rsidRPr="000D742A">
        <w:rPr>
          <w:rFonts w:eastAsia="Times New Roman" w:cs="Arial"/>
          <w:lang w:eastAsia="es-PE"/>
        </w:rPr>
        <w:t>.</w:t>
      </w:r>
    </w:p>
    <w:p w14:paraId="0C7A0B94" w14:textId="77777777"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En el caso de una operación con futuros con commodities,</w:t>
      </w:r>
      <w:r w:rsidR="00044DE2" w:rsidRPr="000D742A">
        <w:rPr>
          <w:rFonts w:eastAsia="Times New Roman" w:cs="Arial"/>
          <w:lang w:eastAsia="es-PE"/>
        </w:rPr>
        <w:t xml:space="preserve"> instrumentos representativos de capital y deuda </w:t>
      </w:r>
      <w:r w:rsidRPr="000D742A">
        <w:rPr>
          <w:rFonts w:eastAsia="Times New Roman" w:cs="Arial"/>
          <w:lang w:eastAsia="es-PE"/>
        </w:rPr>
        <w:t xml:space="preserve"> señalar la moneda entregada y el subyacente</w:t>
      </w:r>
      <w:r w:rsidR="005E5504" w:rsidRPr="000D742A">
        <w:rPr>
          <w:rFonts w:eastAsia="Times New Roman" w:cs="Arial"/>
          <w:lang w:eastAsia="es-PE"/>
        </w:rPr>
        <w:t>.</w:t>
      </w:r>
      <w:r w:rsidRPr="000D742A">
        <w:rPr>
          <w:rFonts w:eastAsia="Times New Roman" w:cs="Arial"/>
          <w:lang w:eastAsia="es-PE"/>
        </w:rPr>
        <w:t xml:space="preserve"> </w:t>
      </w:r>
    </w:p>
    <w:p w14:paraId="411AF2C0" w14:textId="77777777" w:rsidR="00871CC1" w:rsidRPr="000D742A" w:rsidRDefault="00044DE2"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En el caso de una operación co</w:t>
      </w:r>
      <w:r w:rsidR="00871CC1" w:rsidRPr="000D742A">
        <w:rPr>
          <w:rFonts w:eastAsia="Times New Roman" w:cs="Arial"/>
          <w:lang w:eastAsia="es-PE"/>
        </w:rPr>
        <w:t>n Opcio</w:t>
      </w:r>
      <w:r w:rsidRPr="000D742A">
        <w:rPr>
          <w:rFonts w:eastAsia="Times New Roman" w:cs="Arial"/>
          <w:lang w:eastAsia="es-PE"/>
        </w:rPr>
        <w:t>nes con c</w:t>
      </w:r>
      <w:r w:rsidR="00871CC1" w:rsidRPr="000D742A">
        <w:rPr>
          <w:rFonts w:eastAsia="Times New Roman" w:cs="Arial"/>
          <w:lang w:eastAsia="es-PE"/>
        </w:rPr>
        <w:t>ommodities,</w:t>
      </w:r>
      <w:r w:rsidRPr="000D742A">
        <w:rPr>
          <w:rFonts w:eastAsia="Times New Roman" w:cs="Arial"/>
          <w:lang w:eastAsia="es-PE"/>
        </w:rPr>
        <w:t xml:space="preserve"> </w:t>
      </w:r>
      <w:r w:rsidR="00710B58" w:rsidRPr="000D742A">
        <w:rPr>
          <w:rFonts w:eastAsia="Times New Roman" w:cs="Arial"/>
          <w:lang w:eastAsia="es-PE"/>
        </w:rPr>
        <w:t xml:space="preserve">instrumentos </w:t>
      </w:r>
      <w:r w:rsidRPr="000D742A">
        <w:rPr>
          <w:rFonts w:eastAsia="Times New Roman" w:cs="Arial"/>
          <w:lang w:eastAsia="es-PE"/>
        </w:rPr>
        <w:t>representativos de capital y deuda</w:t>
      </w:r>
      <w:r w:rsidR="00871CC1" w:rsidRPr="000D742A">
        <w:rPr>
          <w:rFonts w:eastAsia="Times New Roman" w:cs="Arial"/>
          <w:lang w:eastAsia="es-PE"/>
        </w:rPr>
        <w:t xml:space="preserve"> especificar el subyacente y si la opción es a término (europea (E)) o adelantada (americana (A))</w:t>
      </w:r>
      <w:r w:rsidR="005E5504" w:rsidRPr="000D742A">
        <w:rPr>
          <w:rFonts w:eastAsia="Times New Roman" w:cs="Arial"/>
          <w:lang w:eastAsia="es-PE"/>
        </w:rPr>
        <w:t>.</w:t>
      </w:r>
    </w:p>
    <w:p w14:paraId="41DF7C41" w14:textId="0159FFF6" w:rsidR="00871CC1" w:rsidRPr="000D742A" w:rsidRDefault="00871CC1" w:rsidP="002410CB">
      <w:pPr>
        <w:pStyle w:val="Prrafodelista"/>
        <w:numPr>
          <w:ilvl w:val="1"/>
          <w:numId w:val="2"/>
        </w:numPr>
        <w:spacing w:after="0" w:line="240" w:lineRule="auto"/>
        <w:ind w:left="680" w:hanging="340"/>
        <w:jc w:val="both"/>
        <w:rPr>
          <w:rFonts w:eastAsia="Times New Roman" w:cs="Arial"/>
          <w:lang w:eastAsia="es-PE"/>
        </w:rPr>
      </w:pPr>
      <w:r w:rsidRPr="000D742A">
        <w:rPr>
          <w:rFonts w:eastAsia="Times New Roman" w:cs="Arial"/>
          <w:lang w:eastAsia="es-PE"/>
        </w:rPr>
        <w:t xml:space="preserve">En el caso de Otros </w:t>
      </w:r>
      <w:r w:rsidR="00296C61">
        <w:rPr>
          <w:rFonts w:eastAsia="Times New Roman" w:cs="Arial"/>
          <w:lang w:eastAsia="es-PE"/>
        </w:rPr>
        <w:t>Instrumentos financieros derivados</w:t>
      </w:r>
      <w:r w:rsidRPr="000D742A">
        <w:rPr>
          <w:rFonts w:eastAsia="Times New Roman" w:cs="Arial"/>
          <w:lang w:eastAsia="es-PE"/>
        </w:rPr>
        <w:t>, señalar la operación a realizar (warrant, opción/ futuro sobre instrumentos financieros, estrategia de opciones, lock-in-growth, derivados crediticios, etc.), el (los) activo(s) subyacente(s) y el tipo de posición (corta (C) o larga (L)) en el subyacente</w:t>
      </w:r>
      <w:r w:rsidR="005E5504" w:rsidRPr="000D742A">
        <w:rPr>
          <w:rFonts w:eastAsia="Times New Roman" w:cs="Arial"/>
          <w:lang w:eastAsia="es-PE"/>
        </w:rPr>
        <w:t>).</w:t>
      </w:r>
      <w:r w:rsidRPr="000D742A">
        <w:rPr>
          <w:rFonts w:eastAsia="Times New Roman" w:cs="Arial"/>
          <w:lang w:eastAsia="es-PE"/>
        </w:rPr>
        <w:t xml:space="preserve">  </w:t>
      </w:r>
    </w:p>
    <w:p w14:paraId="35AE8E8C" w14:textId="77777777" w:rsidR="00871CC1" w:rsidRPr="000D742A" w:rsidRDefault="00871CC1" w:rsidP="002410CB">
      <w:pPr>
        <w:pStyle w:val="Prrafodelista"/>
        <w:numPr>
          <w:ilvl w:val="0"/>
          <w:numId w:val="2"/>
        </w:numPr>
        <w:spacing w:after="0" w:line="240" w:lineRule="auto"/>
        <w:ind w:left="340" w:hanging="340"/>
        <w:jc w:val="both"/>
        <w:rPr>
          <w:rFonts w:eastAsia="Times New Roman" w:cs="Arial"/>
          <w:lang w:eastAsia="es-PE"/>
        </w:rPr>
      </w:pPr>
      <w:r w:rsidRPr="000D742A">
        <w:rPr>
          <w:rFonts w:eastAsia="Times New Roman" w:cs="Arial"/>
          <w:lang w:eastAsia="es-PE"/>
        </w:rPr>
        <w:t>Tomar en cuenta las siguientes consideraciones:</w:t>
      </w:r>
    </w:p>
    <w:p w14:paraId="049F6EE6"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En el caso de personas jurídicas, consignar la razón social</w:t>
      </w:r>
      <w:r w:rsidR="005E5504" w:rsidRPr="000D742A">
        <w:rPr>
          <w:rFonts w:eastAsia="Times New Roman" w:cs="Arial"/>
          <w:lang w:eastAsia="es-PE"/>
        </w:rPr>
        <w:t>.</w:t>
      </w:r>
    </w:p>
    <w:p w14:paraId="736E1F74"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Indicar R si la contraparte es Residente y NR si es No Residente. En el caso de personas jurídicas se considerará que las subsidiarias de empresas extranjeras son residentes y las sucursales como no residentes.</w:t>
      </w:r>
    </w:p>
    <w:p w14:paraId="62B9A44B"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Consignar el código ISO del país en el que reside la contraparte</w:t>
      </w:r>
      <w:r w:rsidR="00710B58" w:rsidRPr="000D742A">
        <w:rPr>
          <w:rFonts w:eastAsia="Times New Roman" w:cs="Arial"/>
          <w:lang w:eastAsia="es-PE"/>
        </w:rPr>
        <w:t xml:space="preserve"> (ISO 3166-1 alfa-3)</w:t>
      </w:r>
      <w:r w:rsidR="005E5504" w:rsidRPr="000D742A">
        <w:rPr>
          <w:rFonts w:eastAsia="Times New Roman" w:cs="Arial"/>
          <w:lang w:eastAsia="es-PE"/>
        </w:rPr>
        <w:t>.</w:t>
      </w:r>
    </w:p>
    <w:p w14:paraId="06E0B488"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En el caso de personas naturales señalar DNI y para personas naturales extranjeras residentes en el país carné de extranjería o pasaporte. En el caso de personas jurídicas residentes señalar RUC. En el caso de personas jurídicas no residentes indicar el Código SWIFT (sector financiero) o Código Fiscal del cliente en el país de origen (sector no financiero).</w:t>
      </w:r>
    </w:p>
    <w:p w14:paraId="757A6C5E"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 xml:space="preserve">Indicar F si la contraparte </w:t>
      </w:r>
      <w:r w:rsidR="00813982" w:rsidRPr="000D742A">
        <w:rPr>
          <w:rFonts w:eastAsia="Times New Roman" w:cs="Arial"/>
          <w:lang w:eastAsia="es-PE"/>
        </w:rPr>
        <w:t>es una institución financiera</w:t>
      </w:r>
      <w:r w:rsidR="003305B1" w:rsidRPr="000D742A">
        <w:rPr>
          <w:rFonts w:eastAsia="Times New Roman" w:cs="Arial"/>
          <w:lang w:eastAsia="es-PE"/>
        </w:rPr>
        <w:t xml:space="preserve"> o</w:t>
      </w:r>
      <w:r w:rsidR="00813982" w:rsidRPr="000D742A">
        <w:rPr>
          <w:rFonts w:eastAsia="Times New Roman" w:cs="Arial"/>
          <w:lang w:eastAsia="es-PE"/>
        </w:rPr>
        <w:t xml:space="preserve"> </w:t>
      </w:r>
      <w:r w:rsidRPr="000D742A">
        <w:rPr>
          <w:rFonts w:eastAsia="Times New Roman" w:cs="Arial"/>
          <w:lang w:eastAsia="es-PE"/>
        </w:rPr>
        <w:t>de seguros</w:t>
      </w:r>
      <w:r w:rsidR="003305B1" w:rsidRPr="000D742A">
        <w:rPr>
          <w:rFonts w:eastAsia="Times New Roman" w:cs="Arial"/>
          <w:lang w:eastAsia="es-PE"/>
        </w:rPr>
        <w:t>,</w:t>
      </w:r>
      <w:r w:rsidR="00813982" w:rsidRPr="000D742A">
        <w:rPr>
          <w:rFonts w:eastAsia="Times New Roman" w:cs="Arial"/>
          <w:lang w:eastAsia="es-PE"/>
        </w:rPr>
        <w:t xml:space="preserve"> </w:t>
      </w:r>
      <w:r w:rsidRPr="000D742A">
        <w:rPr>
          <w:rFonts w:eastAsia="Times New Roman" w:cs="Arial"/>
          <w:lang w:eastAsia="es-PE"/>
        </w:rPr>
        <w:t>NF si la contraparte n</w:t>
      </w:r>
      <w:r w:rsidR="003305B1" w:rsidRPr="000D742A">
        <w:rPr>
          <w:rFonts w:eastAsia="Times New Roman" w:cs="Arial"/>
          <w:lang w:eastAsia="es-PE"/>
        </w:rPr>
        <w:t>o es una institución financiera o</w:t>
      </w:r>
      <w:r w:rsidR="00813982" w:rsidRPr="000D742A">
        <w:rPr>
          <w:rFonts w:eastAsia="Times New Roman" w:cs="Arial"/>
          <w:lang w:eastAsia="es-PE"/>
        </w:rPr>
        <w:t xml:space="preserve"> </w:t>
      </w:r>
      <w:r w:rsidRPr="000D742A">
        <w:rPr>
          <w:rFonts w:eastAsia="Times New Roman" w:cs="Arial"/>
          <w:lang w:eastAsia="es-PE"/>
        </w:rPr>
        <w:t>de seguros</w:t>
      </w:r>
      <w:r w:rsidR="00813982" w:rsidRPr="000D742A">
        <w:rPr>
          <w:rFonts w:eastAsia="Times New Roman" w:cs="Arial"/>
          <w:lang w:eastAsia="es-PE"/>
        </w:rPr>
        <w:t xml:space="preserve"> </w:t>
      </w:r>
      <w:r w:rsidR="003305B1" w:rsidRPr="000D742A">
        <w:rPr>
          <w:rFonts w:eastAsia="Times New Roman" w:cs="Arial"/>
          <w:lang w:eastAsia="es-PE"/>
        </w:rPr>
        <w:t>y AFP si la contraparte es una</w:t>
      </w:r>
      <w:r w:rsidR="00813982" w:rsidRPr="000D742A">
        <w:rPr>
          <w:rFonts w:eastAsia="Times New Roman" w:cs="Arial"/>
          <w:lang w:eastAsia="es-PE"/>
        </w:rPr>
        <w:t xml:space="preserve"> administradora</w:t>
      </w:r>
      <w:r w:rsidR="00534B30" w:rsidRPr="000D742A">
        <w:rPr>
          <w:rFonts w:eastAsia="Times New Roman" w:cs="Arial"/>
          <w:lang w:eastAsia="es-PE"/>
        </w:rPr>
        <w:t xml:space="preserve"> privada</w:t>
      </w:r>
      <w:r w:rsidR="00813982" w:rsidRPr="000D742A">
        <w:rPr>
          <w:rFonts w:eastAsia="Times New Roman" w:cs="Arial"/>
          <w:lang w:eastAsia="es-PE"/>
        </w:rPr>
        <w:t xml:space="preserve"> de fondo</w:t>
      </w:r>
      <w:r w:rsidR="00534B30" w:rsidRPr="000D742A">
        <w:rPr>
          <w:rFonts w:eastAsia="Times New Roman" w:cs="Arial"/>
          <w:lang w:eastAsia="es-PE"/>
        </w:rPr>
        <w:t>s</w:t>
      </w:r>
      <w:r w:rsidR="00813982" w:rsidRPr="000D742A">
        <w:rPr>
          <w:rFonts w:eastAsia="Times New Roman" w:cs="Arial"/>
          <w:lang w:eastAsia="es-PE"/>
        </w:rPr>
        <w:t xml:space="preserve"> de pensiones</w:t>
      </w:r>
      <w:r w:rsidRPr="000D742A">
        <w:rPr>
          <w:rFonts w:eastAsia="Times New Roman" w:cs="Arial"/>
          <w:lang w:eastAsia="es-PE"/>
        </w:rPr>
        <w:t xml:space="preserve">. Se considerará contraparte financiera a todas aquellas comprendidas en los Artículos </w:t>
      </w:r>
      <w:r w:rsidRPr="000D742A">
        <w:rPr>
          <w:rFonts w:eastAsia="Times New Roman" w:cs="Arial"/>
          <w:lang w:eastAsia="es-PE"/>
        </w:rPr>
        <w:lastRenderedPageBreak/>
        <w:t>16° y 17° de la Ley General, así como a COFIDE, Banco de la Nación, Banco Agropecuario, Fondo MiVivienda y FOGAPI. Adicionalmente se considerarán las Sociedades Administradoras de Fondos Mutuos y Fondos de Inversión,</w:t>
      </w:r>
      <w:r w:rsidR="00813982" w:rsidRPr="000D742A">
        <w:rPr>
          <w:rFonts w:eastAsia="Times New Roman" w:cs="Arial"/>
          <w:lang w:eastAsia="es-PE"/>
        </w:rPr>
        <w:t xml:space="preserve"> </w:t>
      </w:r>
      <w:r w:rsidRPr="000D742A">
        <w:rPr>
          <w:rFonts w:eastAsia="Times New Roman" w:cs="Arial"/>
          <w:lang w:eastAsia="es-PE"/>
        </w:rPr>
        <w:t>Agentes de Intermediación en el Mercado de Valores, Sociedades Titulizadoras, Sociedades de Propósito Especial y otras, cuyo objeto social, a juicio de esta Superintendencia, sea compatible con el de las señaladas anteriormente.</w:t>
      </w:r>
    </w:p>
    <w:p w14:paraId="749C3D5E"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Indicar el código SBS de la contraparte, en caso le haya sido asignado</w:t>
      </w:r>
      <w:r w:rsidR="005E5504" w:rsidRPr="000D742A">
        <w:rPr>
          <w:rFonts w:eastAsia="Times New Roman" w:cs="Arial"/>
          <w:lang w:eastAsia="es-PE"/>
        </w:rPr>
        <w:t>.</w:t>
      </w:r>
    </w:p>
    <w:p w14:paraId="28EB3CA8" w14:textId="77777777" w:rsidR="00851A83"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Indicar el código asignado al deudor por parte de la empresa</w:t>
      </w:r>
      <w:r w:rsidR="00851A83" w:rsidRPr="000D742A">
        <w:rPr>
          <w:rFonts w:eastAsia="Times New Roman" w:cs="Arial"/>
          <w:lang w:eastAsia="es-PE"/>
        </w:rPr>
        <w:t>.</w:t>
      </w:r>
      <w:r w:rsidRPr="000D742A">
        <w:rPr>
          <w:rFonts w:eastAsia="Times New Roman" w:cs="Arial"/>
          <w:lang w:eastAsia="es-PE"/>
        </w:rPr>
        <w:t xml:space="preserve"> </w:t>
      </w:r>
    </w:p>
    <w:p w14:paraId="6382B619" w14:textId="77777777" w:rsidR="00871CC1" w:rsidRPr="000D742A" w:rsidRDefault="00871CC1" w:rsidP="002410CB">
      <w:pPr>
        <w:pStyle w:val="Prrafodelista"/>
        <w:numPr>
          <w:ilvl w:val="2"/>
          <w:numId w:val="2"/>
        </w:numPr>
        <w:spacing w:after="0" w:line="240" w:lineRule="auto"/>
        <w:ind w:left="680" w:hanging="340"/>
        <w:jc w:val="both"/>
        <w:rPr>
          <w:rFonts w:eastAsia="Times New Roman" w:cs="Arial"/>
          <w:lang w:eastAsia="es-PE"/>
        </w:rPr>
      </w:pPr>
      <w:r w:rsidRPr="000D742A">
        <w:rPr>
          <w:rFonts w:eastAsia="Times New Roman" w:cs="Arial"/>
          <w:lang w:eastAsia="es-PE"/>
        </w:rPr>
        <w:t>Indicar el ponderador por vencimiento residual según lo contemplado en el Artículo N° 26 del Reglamento para el Requerimiento de Patrimonio Efectivo por Riesgo de Crédito aprobado por la Resolución SBS N° 14354-2009 y sus</w:t>
      </w:r>
      <w:r w:rsidR="00534B30" w:rsidRPr="000D742A">
        <w:rPr>
          <w:rFonts w:eastAsia="Times New Roman" w:cs="Arial"/>
          <w:lang w:eastAsia="es-PE"/>
        </w:rPr>
        <w:t xml:space="preserve"> normas</w:t>
      </w:r>
      <w:r w:rsidRPr="000D742A">
        <w:rPr>
          <w:rFonts w:eastAsia="Times New Roman" w:cs="Arial"/>
          <w:lang w:eastAsia="es-PE"/>
        </w:rPr>
        <w:t xml:space="preserve"> modificatorias.</w:t>
      </w:r>
      <w:r w:rsidR="003132C6" w:rsidRPr="000D742A">
        <w:rPr>
          <w:rFonts w:eastAsia="Times New Roman" w:cs="Arial"/>
          <w:lang w:eastAsia="es-PE"/>
        </w:rPr>
        <w:t xml:space="preserve"> (Expresar en </w:t>
      </w:r>
      <w:r w:rsidR="00DA29F3" w:rsidRPr="000D742A">
        <w:rPr>
          <w:rFonts w:eastAsia="Times New Roman" w:cs="Arial"/>
          <w:lang w:eastAsia="es-PE"/>
        </w:rPr>
        <w:t>decimales</w:t>
      </w:r>
      <w:r w:rsidR="003132C6" w:rsidRPr="000D742A">
        <w:rPr>
          <w:rFonts w:eastAsia="Times New Roman" w:cs="Arial"/>
          <w:lang w:eastAsia="es-PE"/>
        </w:rPr>
        <w:t>)</w:t>
      </w:r>
    </w:p>
    <w:p w14:paraId="2890B859" w14:textId="7ABAB638" w:rsidR="00871CC1" w:rsidRPr="000D742A" w:rsidRDefault="000D742A" w:rsidP="002410CB">
      <w:pPr>
        <w:pStyle w:val="Prrafodelista"/>
        <w:numPr>
          <w:ilvl w:val="2"/>
          <w:numId w:val="2"/>
        </w:numPr>
        <w:spacing w:after="0" w:line="240" w:lineRule="auto"/>
        <w:ind w:left="680" w:hanging="340"/>
        <w:jc w:val="both"/>
        <w:rPr>
          <w:rFonts w:eastAsia="Times New Roman" w:cs="Arial"/>
          <w:lang w:eastAsia="es-PE"/>
        </w:rPr>
      </w:pPr>
      <w:r w:rsidRPr="000D742A">
        <w:rPr>
          <w:bCs/>
          <w:iCs/>
        </w:rPr>
        <w:t xml:space="preserve">Especificar si la empresa ha firmado un contrato al amparo de alguno de los contratos marco reconocidos por esta Superintendencia que permita la compensación de obligaciones recíprocas generadas de operaciones con </w:t>
      </w:r>
      <w:r w:rsidR="00296C61" w:rsidRPr="00E022A3">
        <w:rPr>
          <w:bCs/>
          <w:iCs/>
          <w:color w:val="FF0000"/>
        </w:rPr>
        <w:t xml:space="preserve">instrumentos </w:t>
      </w:r>
      <w:r w:rsidR="00296C61">
        <w:rPr>
          <w:bCs/>
          <w:iCs/>
        </w:rPr>
        <w:t>financieros derivados</w:t>
      </w:r>
      <w:r w:rsidRPr="000D742A">
        <w:rPr>
          <w:bCs/>
          <w:iCs/>
        </w:rPr>
        <w:t>, celebrados con instituciones financieras y de seguros del país y del exterior. Para resultar válido el contrato debe haber sido puesto en conocimiento de este Organismo de Control en el plazo y forma prevista en la normativa correspondiente. Indicar SI en caso de haberse suscrito un contrato y NO en caso contrario.</w:t>
      </w:r>
    </w:p>
    <w:p w14:paraId="52FCEAF3" w14:textId="70E98C77" w:rsidR="001A58AD" w:rsidRPr="00FC0F9E" w:rsidRDefault="001A58AD" w:rsidP="002410CB">
      <w:pPr>
        <w:pStyle w:val="Prrafodelista"/>
        <w:numPr>
          <w:ilvl w:val="0"/>
          <w:numId w:val="2"/>
        </w:numPr>
        <w:spacing w:after="0" w:line="240" w:lineRule="auto"/>
        <w:ind w:left="340" w:hanging="340"/>
        <w:jc w:val="both"/>
        <w:rPr>
          <w:rFonts w:eastAsia="Times New Roman" w:cs="Arial"/>
          <w:color w:val="FF0000"/>
          <w:lang w:eastAsia="es-PE"/>
        </w:rPr>
      </w:pPr>
      <w:r w:rsidRPr="00FC0F9E">
        <w:rPr>
          <w:rFonts w:eastAsia="Times New Roman" w:cs="Arial"/>
          <w:color w:val="FF0000"/>
          <w:lang w:eastAsia="es-PE"/>
        </w:rPr>
        <w:t xml:space="preserve">La empresa deberá </w:t>
      </w:r>
      <w:r w:rsidR="00534B30" w:rsidRPr="00FC0F9E">
        <w:rPr>
          <w:rFonts w:eastAsia="Times New Roman" w:cs="Arial"/>
          <w:color w:val="FF0000"/>
          <w:lang w:eastAsia="es-PE"/>
        </w:rPr>
        <w:t>aplicar</w:t>
      </w:r>
      <w:r w:rsidRPr="00FC0F9E">
        <w:rPr>
          <w:rFonts w:eastAsia="Times New Roman" w:cs="Arial"/>
          <w:color w:val="FF0000"/>
          <w:lang w:eastAsia="es-PE"/>
        </w:rPr>
        <w:t xml:space="preserve"> </w:t>
      </w:r>
      <w:r w:rsidR="00543FB2" w:rsidRPr="00FC0F9E">
        <w:rPr>
          <w:rFonts w:eastAsia="Times New Roman" w:cs="Arial"/>
          <w:color w:val="FF0000"/>
          <w:lang w:eastAsia="es-PE"/>
        </w:rPr>
        <w:t xml:space="preserve">los lineamientos para determinar el </w:t>
      </w:r>
      <w:r w:rsidR="005C1C34" w:rsidRPr="00FC0F9E">
        <w:rPr>
          <w:rFonts w:eastAsia="Times New Roman" w:cs="Arial"/>
          <w:color w:val="FF0000"/>
          <w:lang w:eastAsia="es-PE"/>
        </w:rPr>
        <w:t>V</w:t>
      </w:r>
      <w:r w:rsidR="00543FB2" w:rsidRPr="00FC0F9E">
        <w:rPr>
          <w:rFonts w:eastAsia="Times New Roman" w:cs="Arial"/>
          <w:color w:val="FF0000"/>
          <w:lang w:eastAsia="es-PE"/>
        </w:rPr>
        <w:t xml:space="preserve">alor </w:t>
      </w:r>
      <w:r w:rsidR="005C1C34" w:rsidRPr="00FC0F9E">
        <w:rPr>
          <w:rFonts w:eastAsia="Times New Roman" w:cs="Arial"/>
          <w:color w:val="FF0000"/>
          <w:lang w:eastAsia="es-PE"/>
        </w:rPr>
        <w:t>R</w:t>
      </w:r>
      <w:r w:rsidR="00543FB2" w:rsidRPr="00FC0F9E">
        <w:rPr>
          <w:rFonts w:eastAsia="Times New Roman" w:cs="Arial"/>
          <w:color w:val="FF0000"/>
          <w:lang w:eastAsia="es-PE"/>
        </w:rPr>
        <w:t>azonable</w:t>
      </w:r>
      <w:r w:rsidR="005C1C34" w:rsidRPr="00FC0F9E">
        <w:rPr>
          <w:rFonts w:eastAsia="Times New Roman" w:cs="Arial"/>
          <w:color w:val="FF0000"/>
          <w:lang w:eastAsia="es-PE"/>
        </w:rPr>
        <w:t xml:space="preserve"> </w:t>
      </w:r>
      <w:r w:rsidR="00296C61" w:rsidRPr="00FC0F9E">
        <w:rPr>
          <w:rFonts w:eastAsia="Times New Roman" w:cs="Arial"/>
          <w:color w:val="FF0000"/>
          <w:lang w:eastAsia="es-PE"/>
        </w:rPr>
        <w:t>(</w:t>
      </w:r>
      <w:r w:rsidR="005C1C34" w:rsidRPr="00FC0F9E">
        <w:rPr>
          <w:rFonts w:eastAsia="Times New Roman" w:cs="Arial"/>
          <w:color w:val="FF0000"/>
          <w:lang w:eastAsia="es-PE"/>
        </w:rPr>
        <w:t>Total</w:t>
      </w:r>
      <w:r w:rsidR="00296C61" w:rsidRPr="00FC0F9E">
        <w:rPr>
          <w:rFonts w:eastAsia="Times New Roman" w:cs="Arial"/>
          <w:color w:val="FF0000"/>
          <w:lang w:eastAsia="es-PE"/>
        </w:rPr>
        <w:t xml:space="preserve"> en MN), al que se refiere </w:t>
      </w:r>
      <w:r w:rsidR="00F61C8E" w:rsidRPr="00FC0F9E">
        <w:rPr>
          <w:rFonts w:eastAsia="Times New Roman" w:cs="Arial"/>
          <w:color w:val="FF0000"/>
          <w:lang w:eastAsia="es-PE"/>
        </w:rPr>
        <w:t>el nuevo</w:t>
      </w:r>
      <w:r w:rsidR="00296C61" w:rsidRPr="00FC0F9E">
        <w:rPr>
          <w:rFonts w:eastAsia="Times New Roman" w:cs="Arial"/>
          <w:color w:val="FF0000"/>
          <w:lang w:eastAsia="es-PE"/>
        </w:rPr>
        <w:t xml:space="preserve"> </w:t>
      </w:r>
      <w:r w:rsidR="00543FB2" w:rsidRPr="00FC0F9E">
        <w:rPr>
          <w:rFonts w:eastAsia="Batang"/>
          <w:color w:val="FF0000"/>
          <w:lang w:eastAsia="ko-KR"/>
        </w:rPr>
        <w:t>Reglamento para la Negociación y Contabilización de Instrumentos Financieros Derivados en las Empresas del Sistema Financiero</w:t>
      </w:r>
      <w:r w:rsidRPr="00FC0F9E">
        <w:rPr>
          <w:rFonts w:eastAsia="Times New Roman" w:cs="Arial"/>
          <w:color w:val="FF0000"/>
          <w:lang w:eastAsia="es-PE"/>
        </w:rPr>
        <w:t xml:space="preserve">, debiendo estar éstos a disposición de esta Superintendencia..  Cabe señalar que el </w:t>
      </w:r>
      <w:r w:rsidR="005C1C34" w:rsidRPr="00FC0F9E">
        <w:rPr>
          <w:rFonts w:eastAsia="Times New Roman" w:cs="Arial"/>
          <w:color w:val="FF0000"/>
          <w:lang w:eastAsia="es-PE"/>
        </w:rPr>
        <w:t xml:space="preserve">Valor Razonable </w:t>
      </w:r>
      <w:r w:rsidRPr="00FC0F9E">
        <w:rPr>
          <w:rFonts w:eastAsia="Times New Roman" w:cs="Arial"/>
          <w:color w:val="FF0000"/>
          <w:lang w:eastAsia="es-PE"/>
        </w:rPr>
        <w:t xml:space="preserve">Total calculado en esta sección deberá coincidir con el valor neto obtenido de la posición larga y corta a valor </w:t>
      </w:r>
      <w:r w:rsidR="005C1C34" w:rsidRPr="00FC0F9E">
        <w:rPr>
          <w:rFonts w:eastAsia="Times New Roman" w:cs="Arial"/>
          <w:color w:val="FF0000"/>
          <w:lang w:eastAsia="es-PE"/>
        </w:rPr>
        <w:t>razonable</w:t>
      </w:r>
      <w:r w:rsidRPr="00FC0F9E">
        <w:rPr>
          <w:rFonts w:eastAsia="Times New Roman" w:cs="Arial"/>
          <w:color w:val="FF0000"/>
          <w:lang w:eastAsia="es-PE"/>
        </w:rPr>
        <w:t>.</w:t>
      </w:r>
    </w:p>
    <w:p w14:paraId="47C0B859" w14:textId="47A48B96" w:rsidR="00296C61" w:rsidRPr="00FC0F9E" w:rsidRDefault="00296C61" w:rsidP="00296C61">
      <w:pPr>
        <w:pStyle w:val="Prrafodelista"/>
        <w:spacing w:after="0" w:line="240" w:lineRule="auto"/>
        <w:ind w:left="340"/>
        <w:jc w:val="both"/>
        <w:rPr>
          <w:rFonts w:eastAsia="Times New Roman" w:cs="Arial"/>
          <w:color w:val="FF0000"/>
          <w:lang w:eastAsia="es-PE"/>
        </w:rPr>
      </w:pPr>
      <w:r w:rsidRPr="00FC0F9E">
        <w:rPr>
          <w:rFonts w:eastAsia="Times New Roman" w:cs="Arial"/>
          <w:color w:val="FF0000"/>
          <w:lang w:eastAsia="es-PE"/>
        </w:rPr>
        <w:t>Para efectos de la presentación de este Anexo, el Valor razonable total no incluye los ajustes por CVA/DVA.</w:t>
      </w:r>
    </w:p>
    <w:p w14:paraId="565E6F78" w14:textId="585C810D" w:rsidR="003D72B9" w:rsidRPr="00FC0F9E" w:rsidRDefault="003D72B9" w:rsidP="006536DF">
      <w:pPr>
        <w:pStyle w:val="Prrafodelista"/>
        <w:numPr>
          <w:ilvl w:val="0"/>
          <w:numId w:val="2"/>
        </w:numPr>
        <w:spacing w:after="0" w:line="240" w:lineRule="auto"/>
        <w:ind w:left="357" w:hanging="357"/>
        <w:jc w:val="both"/>
        <w:rPr>
          <w:color w:val="FF0000"/>
        </w:rPr>
      </w:pPr>
      <w:r w:rsidRPr="00FC0F9E">
        <w:rPr>
          <w:color w:val="FF0000"/>
        </w:rPr>
        <w:t>Indicar el monto del CVA y DVA asociado a la operación que corresponda del instrumento financiero derivado, expresado en soles y aproximado a dos decimales.</w:t>
      </w:r>
    </w:p>
    <w:p w14:paraId="4BCE4418" w14:textId="457FE4E5" w:rsidR="001A58AD" w:rsidRPr="006536DF" w:rsidRDefault="006536DF" w:rsidP="006536DF">
      <w:pPr>
        <w:pStyle w:val="Prrafodelista"/>
        <w:numPr>
          <w:ilvl w:val="0"/>
          <w:numId w:val="2"/>
        </w:numPr>
        <w:spacing w:after="0" w:line="240" w:lineRule="auto"/>
        <w:ind w:left="357" w:hanging="357"/>
        <w:jc w:val="both"/>
      </w:pPr>
      <w:r>
        <w:t xml:space="preserve">Indicar N si </w:t>
      </w:r>
      <w:r w:rsidRPr="006536DF">
        <w:rPr>
          <w:rFonts w:eastAsia="Times New Roman" w:cs="Arial"/>
          <w:lang w:eastAsia="es-PE"/>
        </w:rPr>
        <w:t>es de "Negociación" o CC si es de "Cobertura Contable"</w:t>
      </w:r>
      <w:r w:rsidR="000470C1">
        <w:rPr>
          <w:rFonts w:eastAsia="Times New Roman" w:cs="Arial"/>
          <w:lang w:eastAsia="es-PE"/>
        </w:rPr>
        <w:t xml:space="preserve"> </w:t>
      </w:r>
      <w:r w:rsidR="00F335FE">
        <w:rPr>
          <w:rFonts w:eastAsia="Times New Roman" w:cs="Arial"/>
          <w:color w:val="FF0000"/>
          <w:lang w:eastAsia="es-PE"/>
        </w:rPr>
        <w:t xml:space="preserve">de acuerdo con </w:t>
      </w:r>
      <w:r w:rsidR="00F335FE" w:rsidRPr="00F335FE">
        <w:rPr>
          <w:rFonts w:eastAsia="Times New Roman" w:cs="Arial"/>
          <w:color w:val="FF0000"/>
          <w:lang w:eastAsia="es-PE"/>
        </w:rPr>
        <w:t>lo establecido en</w:t>
      </w:r>
      <w:r w:rsidR="00F335FE">
        <w:rPr>
          <w:rFonts w:eastAsia="Times New Roman" w:cs="Arial"/>
          <w:color w:val="FF0000"/>
          <w:lang w:eastAsia="es-PE"/>
        </w:rPr>
        <w:t xml:space="preserve"> el</w:t>
      </w:r>
      <w:r w:rsidR="00F335FE" w:rsidRPr="00F335FE">
        <w:rPr>
          <w:rFonts w:eastAsia="Times New Roman" w:cs="Arial"/>
          <w:color w:val="FF0000"/>
          <w:lang w:eastAsia="es-PE"/>
        </w:rPr>
        <w:t xml:space="preserve"> </w:t>
      </w:r>
      <w:r w:rsidR="00C15206">
        <w:rPr>
          <w:rFonts w:eastAsia="Times New Roman" w:cs="Arial"/>
          <w:color w:val="FF0000"/>
          <w:lang w:eastAsia="es-PE"/>
        </w:rPr>
        <w:t xml:space="preserve">nuevo </w:t>
      </w:r>
      <w:r w:rsidR="00F335FE" w:rsidRPr="00F335FE">
        <w:rPr>
          <w:rFonts w:eastAsia="Times New Roman" w:cs="Arial"/>
          <w:color w:val="FF0000"/>
          <w:lang w:eastAsia="es-PE"/>
        </w:rPr>
        <w:t>Reglamento para la Negociación y Contabilización de Instrumentos Financieros Derivados en las Empresas del Sistema Financiero</w:t>
      </w:r>
      <w:r w:rsidRPr="006536DF">
        <w:rPr>
          <w:rFonts w:eastAsia="Times New Roman" w:cs="Arial"/>
          <w:lang w:eastAsia="es-PE"/>
        </w:rPr>
        <w:t>.</w:t>
      </w:r>
      <w:r w:rsidR="00F335FE" w:rsidRPr="006536DF" w:rsidDel="00F335FE">
        <w:rPr>
          <w:rFonts w:eastAsia="Times New Roman" w:cs="Arial"/>
          <w:lang w:eastAsia="es-PE"/>
        </w:rPr>
        <w:t xml:space="preserve"> </w:t>
      </w:r>
    </w:p>
    <w:p w14:paraId="7905FA37" w14:textId="2272AB36" w:rsidR="00146EA3" w:rsidRPr="003D72B9" w:rsidRDefault="00146EA3" w:rsidP="003D72B9">
      <w:pPr>
        <w:pStyle w:val="Prrafodelista"/>
        <w:numPr>
          <w:ilvl w:val="0"/>
          <w:numId w:val="2"/>
        </w:numPr>
        <w:spacing w:after="0" w:line="240" w:lineRule="auto"/>
        <w:ind w:left="340" w:hanging="340"/>
        <w:jc w:val="both"/>
        <w:rPr>
          <w:rFonts w:eastAsia="Times New Roman" w:cs="Arial"/>
          <w:lang w:eastAsia="es-PE"/>
        </w:rPr>
      </w:pPr>
      <w:r w:rsidRPr="003D72B9">
        <w:rPr>
          <w:rFonts w:eastAsia="Times New Roman" w:cs="Arial"/>
          <w:lang w:eastAsia="es-PE"/>
        </w:rPr>
        <w:t>Indicar el tipo de cobertura contable:  1) Valor razonable, 2) Flujo de efectivo ó 3) Inversiones netas en el extranjero.</w:t>
      </w:r>
    </w:p>
    <w:p w14:paraId="43172210" w14:textId="3754B790" w:rsidR="001A58AD" w:rsidRPr="002410CB" w:rsidRDefault="001A58AD" w:rsidP="00306147">
      <w:pPr>
        <w:pStyle w:val="Prrafodelista"/>
        <w:numPr>
          <w:ilvl w:val="0"/>
          <w:numId w:val="2"/>
        </w:numPr>
        <w:spacing w:after="0" w:line="240" w:lineRule="auto"/>
        <w:ind w:left="340" w:hanging="340"/>
        <w:jc w:val="both"/>
        <w:rPr>
          <w:rFonts w:eastAsia="Times New Roman" w:cs="Arial"/>
          <w:lang w:eastAsia="es-PE"/>
        </w:rPr>
      </w:pPr>
      <w:r w:rsidRPr="002410CB">
        <w:rPr>
          <w:rFonts w:eastAsia="Times New Roman" w:cs="Arial"/>
          <w:lang w:eastAsia="es-PE"/>
        </w:rPr>
        <w:t>Considerar lo siguiente:</w:t>
      </w:r>
    </w:p>
    <w:p w14:paraId="69829561" w14:textId="3C4F3B90" w:rsidR="001A58AD" w:rsidRPr="00F508B4" w:rsidRDefault="001A58AD" w:rsidP="00306147">
      <w:pPr>
        <w:pStyle w:val="Prrafodelista"/>
        <w:numPr>
          <w:ilvl w:val="2"/>
          <w:numId w:val="2"/>
        </w:numPr>
        <w:spacing w:after="0" w:line="240" w:lineRule="auto"/>
        <w:ind w:left="680" w:hanging="340"/>
        <w:jc w:val="both"/>
        <w:rPr>
          <w:rFonts w:eastAsia="Times New Roman" w:cs="Arial"/>
          <w:color w:val="FF0000"/>
          <w:lang w:eastAsia="es-PE"/>
        </w:rPr>
      </w:pPr>
      <w:r w:rsidRPr="00F508B4">
        <w:rPr>
          <w:rFonts w:eastAsia="Times New Roman" w:cs="Arial"/>
          <w:color w:val="FF0000"/>
          <w:lang w:eastAsia="es-PE"/>
        </w:rPr>
        <w:t xml:space="preserve">Detallar el(los) instrumento(s) u operación(es) que se está(n) cubriendo, de acuerdo a lo señalado en el </w:t>
      </w:r>
      <w:r w:rsidR="00703D98" w:rsidRPr="00F508B4">
        <w:rPr>
          <w:rFonts w:eastAsia="Times New Roman" w:cs="Arial"/>
          <w:color w:val="FF0000"/>
          <w:lang w:eastAsia="es-PE"/>
        </w:rPr>
        <w:t xml:space="preserve">Capítulo III </w:t>
      </w:r>
      <w:r w:rsidRPr="00F508B4">
        <w:rPr>
          <w:rFonts w:eastAsia="Times New Roman" w:cs="Arial"/>
          <w:color w:val="FF0000"/>
          <w:lang w:eastAsia="es-PE"/>
        </w:rPr>
        <w:t xml:space="preserve">del </w:t>
      </w:r>
      <w:r w:rsidR="00C15206" w:rsidRPr="00F508B4">
        <w:rPr>
          <w:rFonts w:eastAsia="Times New Roman" w:cs="Arial"/>
          <w:color w:val="FF0000"/>
          <w:lang w:eastAsia="es-PE"/>
        </w:rPr>
        <w:t xml:space="preserve">nuevo </w:t>
      </w:r>
      <w:r w:rsidRPr="00F508B4">
        <w:rPr>
          <w:rFonts w:eastAsia="Times New Roman" w:cs="Arial"/>
          <w:color w:val="FF0000"/>
          <w:lang w:eastAsia="es-PE"/>
        </w:rPr>
        <w:t xml:space="preserve">Reglamento para la Negociación y Contabilización de </w:t>
      </w:r>
      <w:r w:rsidR="00296C61" w:rsidRPr="00F508B4">
        <w:rPr>
          <w:rFonts w:eastAsia="Times New Roman" w:cs="Arial"/>
          <w:color w:val="FF0000"/>
          <w:lang w:eastAsia="es-PE"/>
        </w:rPr>
        <w:t>Instrumentos financieros derivados</w:t>
      </w:r>
      <w:r w:rsidRPr="00F508B4">
        <w:rPr>
          <w:rFonts w:eastAsia="Times New Roman" w:cs="Arial"/>
          <w:color w:val="FF0000"/>
          <w:lang w:eastAsia="es-PE"/>
        </w:rPr>
        <w:t xml:space="preserve"> en las Empresas del Sistema Financiero.</w:t>
      </w:r>
    </w:p>
    <w:p w14:paraId="51A994B6" w14:textId="6233B60A" w:rsidR="001A58AD" w:rsidRPr="00F508B4" w:rsidRDefault="009314A8" w:rsidP="00306147">
      <w:pPr>
        <w:pStyle w:val="Prrafodelista"/>
        <w:numPr>
          <w:ilvl w:val="2"/>
          <w:numId w:val="2"/>
        </w:numPr>
        <w:spacing w:after="0" w:line="240" w:lineRule="auto"/>
        <w:ind w:left="680" w:hanging="340"/>
        <w:jc w:val="both"/>
        <w:rPr>
          <w:rFonts w:eastAsia="Times New Roman" w:cs="Arial"/>
          <w:color w:val="FF0000"/>
          <w:lang w:eastAsia="es-PE"/>
        </w:rPr>
      </w:pPr>
      <w:r w:rsidRPr="00F508B4">
        <w:rPr>
          <w:rFonts w:eastAsia="Times New Roman" w:cs="Arial"/>
          <w:color w:val="FF0000"/>
          <w:lang w:eastAsia="es-PE"/>
        </w:rPr>
        <w:t>Indicar porcentaje del instrumento de cobertura asignado a la relación de cobertura, aproximado a dos decimales, en caso se trate de una cobertura parcial.</w:t>
      </w:r>
    </w:p>
    <w:p w14:paraId="71BAE839" w14:textId="102E3B22" w:rsidR="001A58AD" w:rsidRPr="00F508B4" w:rsidRDefault="001A58AD" w:rsidP="00306147">
      <w:pPr>
        <w:pStyle w:val="Prrafodelista"/>
        <w:numPr>
          <w:ilvl w:val="2"/>
          <w:numId w:val="2"/>
        </w:numPr>
        <w:spacing w:after="0" w:line="240" w:lineRule="auto"/>
        <w:ind w:left="680" w:hanging="340"/>
        <w:jc w:val="both"/>
        <w:rPr>
          <w:rFonts w:eastAsia="Times New Roman" w:cs="Arial"/>
          <w:color w:val="FF0000"/>
          <w:lang w:eastAsia="es-PE"/>
        </w:rPr>
      </w:pPr>
      <w:r w:rsidRPr="00F508B4">
        <w:rPr>
          <w:rFonts w:eastAsia="Times New Roman" w:cs="Arial"/>
          <w:color w:val="FF0000"/>
          <w:lang w:eastAsia="es-PE"/>
        </w:rPr>
        <w:t xml:space="preserve">El valor resultante del </w:t>
      </w:r>
      <w:r w:rsidR="00F10ACC" w:rsidRPr="00F508B4">
        <w:rPr>
          <w:rFonts w:eastAsia="Times New Roman" w:cs="Arial"/>
          <w:color w:val="FF0000"/>
          <w:lang w:eastAsia="es-PE"/>
        </w:rPr>
        <w:t>ratio de cobertura prospectivo, expresado en % y aproximado a dos decimales.</w:t>
      </w:r>
      <w:r w:rsidR="00F10ACC" w:rsidRPr="00F508B4" w:rsidDel="00F10ACC">
        <w:rPr>
          <w:rFonts w:eastAsia="Times New Roman" w:cs="Arial"/>
          <w:color w:val="FF0000"/>
          <w:lang w:eastAsia="es-PE"/>
        </w:rPr>
        <w:t xml:space="preserve"> </w:t>
      </w:r>
      <w:r w:rsidRPr="00F508B4">
        <w:rPr>
          <w:rFonts w:eastAsia="Times New Roman" w:cs="Arial"/>
          <w:color w:val="FF0000"/>
          <w:lang w:eastAsia="es-PE"/>
        </w:rPr>
        <w:t xml:space="preserve">que indica la efectividad de la cobertura contable a la fecha de la última información contable enviada a la Superintendencia, de acuerdo </w:t>
      </w:r>
      <w:r w:rsidR="00703D98" w:rsidRPr="00F508B4">
        <w:rPr>
          <w:rFonts w:eastAsia="Times New Roman" w:cs="Arial"/>
          <w:color w:val="FF0000"/>
          <w:lang w:eastAsia="es-PE"/>
        </w:rPr>
        <w:t>a los lineamientos del Capítulo III</w:t>
      </w:r>
      <w:r w:rsidRPr="00F508B4">
        <w:rPr>
          <w:rFonts w:eastAsia="Times New Roman" w:cs="Arial"/>
          <w:color w:val="FF0000"/>
          <w:lang w:eastAsia="es-PE"/>
        </w:rPr>
        <w:t xml:space="preserve"> del </w:t>
      </w:r>
      <w:r w:rsidR="00C15206" w:rsidRPr="00F508B4">
        <w:rPr>
          <w:rFonts w:eastAsia="Times New Roman" w:cs="Arial"/>
          <w:color w:val="FF0000"/>
          <w:lang w:eastAsia="es-PE"/>
        </w:rPr>
        <w:t xml:space="preserve">nuevo </w:t>
      </w:r>
      <w:r w:rsidRPr="00F508B4">
        <w:rPr>
          <w:rFonts w:eastAsia="Times New Roman" w:cs="Arial"/>
          <w:color w:val="FF0000"/>
          <w:lang w:eastAsia="es-PE"/>
        </w:rPr>
        <w:t xml:space="preserve">Reglamento para la Negociación y Contabilización de </w:t>
      </w:r>
      <w:r w:rsidR="00296C61" w:rsidRPr="00F508B4">
        <w:rPr>
          <w:rFonts w:eastAsia="Times New Roman" w:cs="Arial"/>
          <w:color w:val="FF0000"/>
          <w:lang w:eastAsia="es-PE"/>
        </w:rPr>
        <w:t>Instrumentos financieros derivados</w:t>
      </w:r>
      <w:r w:rsidRPr="00F508B4">
        <w:rPr>
          <w:rFonts w:eastAsia="Times New Roman" w:cs="Arial"/>
          <w:color w:val="FF0000"/>
          <w:lang w:eastAsia="es-PE"/>
        </w:rPr>
        <w:t xml:space="preserve"> en las Empresas del Sistema Financiero.</w:t>
      </w:r>
    </w:p>
    <w:p w14:paraId="2A6BD84E" w14:textId="2AA1863A" w:rsidR="001A58AD" w:rsidRPr="000D742A" w:rsidRDefault="000D742A" w:rsidP="00306147">
      <w:pPr>
        <w:pStyle w:val="Prrafodelista"/>
        <w:numPr>
          <w:ilvl w:val="0"/>
          <w:numId w:val="2"/>
        </w:numPr>
        <w:spacing w:after="0" w:line="240" w:lineRule="auto"/>
        <w:ind w:left="340" w:hanging="340"/>
        <w:jc w:val="both"/>
        <w:rPr>
          <w:rFonts w:eastAsia="Times New Roman" w:cs="Arial"/>
          <w:lang w:eastAsia="es-PE"/>
        </w:rPr>
      </w:pPr>
      <w:r w:rsidRPr="000D742A">
        <w:rPr>
          <w:bCs/>
          <w:iCs/>
        </w:rPr>
        <w:t>Especificar si el pago final es por el volumen total de la operación –“con delivery”-  o solamente por el diferencial entre precio pactado y precio spot al vencimiento -´sin delivery´-.  Para los Swaps de Tasas de Interés que incluyen tasas variables, detallar la frecuencia con que se reprecian éstas. Para los CDS y Total Return Swaps detallar la frecuencia de los pagos y si la liquidación en caso de realización del evento crediticio es en efectivo o en físico. Estos detalles de las operaciones se incluirán en la columna Descripción.</w:t>
      </w:r>
    </w:p>
    <w:p w14:paraId="0655FD15" w14:textId="5217AFAD" w:rsidR="001A58AD" w:rsidRPr="002410CB" w:rsidRDefault="001A58AD" w:rsidP="00306147">
      <w:pPr>
        <w:pStyle w:val="Prrafodelista"/>
        <w:numPr>
          <w:ilvl w:val="0"/>
          <w:numId w:val="2"/>
        </w:numPr>
        <w:spacing w:after="0" w:line="240" w:lineRule="auto"/>
        <w:ind w:left="340" w:hanging="340"/>
        <w:jc w:val="both"/>
        <w:rPr>
          <w:rFonts w:eastAsia="Times New Roman" w:cs="Arial"/>
          <w:lang w:eastAsia="es-PE"/>
        </w:rPr>
      </w:pPr>
      <w:r w:rsidRPr="002410CB">
        <w:rPr>
          <w:rFonts w:eastAsia="Times New Roman" w:cs="Arial"/>
          <w:lang w:eastAsia="es-PE"/>
        </w:rPr>
        <w:t xml:space="preserve">Total de compras a futuro de moneda extranjera menos el total de ventas a futuro de moneda extranjera a través de </w:t>
      </w:r>
      <w:r w:rsidR="00296C61" w:rsidRPr="008469DF">
        <w:rPr>
          <w:rFonts w:eastAsia="Times New Roman" w:cs="Arial"/>
          <w:color w:val="FF0000"/>
          <w:lang w:eastAsia="es-PE"/>
        </w:rPr>
        <w:t>instrumentos</w:t>
      </w:r>
      <w:r w:rsidR="00296C61">
        <w:rPr>
          <w:rFonts w:eastAsia="Times New Roman" w:cs="Arial"/>
          <w:lang w:eastAsia="es-PE"/>
        </w:rPr>
        <w:t xml:space="preserve"> financieros derivados</w:t>
      </w:r>
      <w:r w:rsidR="00534B30">
        <w:rPr>
          <w:rFonts w:eastAsia="Times New Roman" w:cs="Arial"/>
          <w:lang w:eastAsia="es-PE"/>
        </w:rPr>
        <w:t>.</w:t>
      </w:r>
    </w:p>
    <w:p w14:paraId="2BDAD2D1" w14:textId="77777777" w:rsidR="001A58AD" w:rsidRPr="002410CB" w:rsidRDefault="001A58AD" w:rsidP="002410CB">
      <w:pPr>
        <w:pStyle w:val="Prrafodelista"/>
        <w:numPr>
          <w:ilvl w:val="0"/>
          <w:numId w:val="2"/>
        </w:numPr>
        <w:spacing w:after="0" w:line="240" w:lineRule="auto"/>
        <w:jc w:val="both"/>
        <w:rPr>
          <w:rFonts w:eastAsia="Times New Roman" w:cs="Arial"/>
          <w:lang w:eastAsia="es-PE"/>
        </w:rPr>
      </w:pPr>
      <w:r w:rsidRPr="002410CB">
        <w:rPr>
          <w:rFonts w:eastAsia="Times New Roman" w:cs="Arial"/>
          <w:lang w:eastAsia="es-PE"/>
        </w:rPr>
        <w:lastRenderedPageBreak/>
        <w:t>Calculada de forma análoga a la volatilidad anual del tipo de cambio en las notas del Anexo N° 9 "Posiciones afectas a riesgo cambiario"</w:t>
      </w:r>
      <w:r w:rsidR="005315D0" w:rsidRPr="002410CB">
        <w:rPr>
          <w:rFonts w:eastAsia="Times New Roman" w:cs="Arial"/>
          <w:lang w:eastAsia="es-PE"/>
        </w:rPr>
        <w:t>.</w:t>
      </w:r>
      <w:r w:rsidR="003132C6" w:rsidRPr="002410CB">
        <w:rPr>
          <w:rFonts w:eastAsia="Times New Roman" w:cs="Arial"/>
          <w:lang w:eastAsia="es-PE"/>
        </w:rPr>
        <w:t xml:space="preserve"> (Expresar en decimales)</w:t>
      </w:r>
    </w:p>
    <w:p w14:paraId="04D65AA5" w14:textId="77777777" w:rsidR="001A58AD" w:rsidRPr="002410CB" w:rsidRDefault="001A58AD" w:rsidP="00306147">
      <w:pPr>
        <w:pStyle w:val="Prrafodelista"/>
        <w:numPr>
          <w:ilvl w:val="0"/>
          <w:numId w:val="2"/>
        </w:numPr>
        <w:spacing w:after="0" w:line="240" w:lineRule="auto"/>
        <w:ind w:left="340" w:hanging="340"/>
        <w:jc w:val="both"/>
        <w:rPr>
          <w:rFonts w:eastAsia="Times New Roman" w:cs="Arial"/>
          <w:lang w:eastAsia="es-PE"/>
        </w:rPr>
      </w:pPr>
      <w:r w:rsidRPr="002410CB">
        <w:rPr>
          <w:rFonts w:eastAsia="Times New Roman" w:cs="Arial"/>
          <w:lang w:eastAsia="es-PE"/>
        </w:rPr>
        <w:t xml:space="preserve">Delta (δ), Gamma (Γ) y Vega (ν) determinados para la opción de acuerdo a la fórmula de Black Scholes de ser el caso (opciones del tipo europeas), o de acuerdo a otro modelo de valuación de conocimiento previo de esta Superintendencia.  </w:t>
      </w:r>
    </w:p>
    <w:p w14:paraId="2E6020B1" w14:textId="77777777" w:rsidR="001A58AD" w:rsidRPr="002410CB" w:rsidRDefault="001A58AD" w:rsidP="00306147">
      <w:pPr>
        <w:pStyle w:val="Prrafodelista"/>
        <w:numPr>
          <w:ilvl w:val="0"/>
          <w:numId w:val="2"/>
        </w:numPr>
        <w:spacing w:after="0" w:line="240" w:lineRule="auto"/>
        <w:ind w:left="340" w:hanging="340"/>
        <w:jc w:val="both"/>
        <w:rPr>
          <w:rFonts w:eastAsia="Times New Roman" w:cs="Arial"/>
          <w:lang w:eastAsia="es-PE"/>
        </w:rPr>
      </w:pPr>
      <w:r w:rsidRPr="002410CB">
        <w:rPr>
          <w:rFonts w:eastAsia="Times New Roman" w:cs="Arial"/>
          <w:lang w:eastAsia="es-PE"/>
        </w:rPr>
        <w:t>Posición neta en términos contables en opciones de M.E.:</w:t>
      </w:r>
    </w:p>
    <w:p w14:paraId="38D2FB58" w14:textId="77777777" w:rsidR="001A58AD" w:rsidRPr="00306147" w:rsidRDefault="001A58AD" w:rsidP="00306147">
      <w:pPr>
        <w:pStyle w:val="Prrafodelista"/>
        <w:numPr>
          <w:ilvl w:val="1"/>
          <w:numId w:val="2"/>
        </w:numPr>
        <w:spacing w:after="0" w:line="240" w:lineRule="auto"/>
        <w:ind w:left="680" w:hanging="340"/>
        <w:jc w:val="both"/>
        <w:rPr>
          <w:rFonts w:eastAsia="Times New Roman" w:cs="Arial"/>
          <w:lang w:eastAsia="es-PE"/>
        </w:rPr>
      </w:pPr>
      <w:r w:rsidRPr="00306147">
        <w:rPr>
          <w:rFonts w:eastAsia="Times New Roman" w:cs="Arial"/>
          <w:lang w:eastAsia="es-PE"/>
        </w:rPr>
        <w:t>Posición de Compra de Opciones Call menos posición de Venta de Opciones Call</w:t>
      </w:r>
    </w:p>
    <w:p w14:paraId="11013F08" w14:textId="77777777" w:rsidR="001A58AD" w:rsidRPr="00306147" w:rsidRDefault="001A58AD" w:rsidP="00306147">
      <w:pPr>
        <w:pStyle w:val="Prrafodelista"/>
        <w:numPr>
          <w:ilvl w:val="1"/>
          <w:numId w:val="2"/>
        </w:numPr>
        <w:spacing w:after="0" w:line="240" w:lineRule="auto"/>
        <w:ind w:left="680" w:hanging="340"/>
        <w:jc w:val="both"/>
        <w:rPr>
          <w:rFonts w:eastAsia="Times New Roman" w:cs="Arial"/>
          <w:lang w:eastAsia="es-PE"/>
        </w:rPr>
      </w:pPr>
      <w:r w:rsidRPr="00306147">
        <w:rPr>
          <w:rFonts w:eastAsia="Times New Roman" w:cs="Arial"/>
          <w:lang w:eastAsia="es-PE"/>
        </w:rPr>
        <w:t>Posición de Compra de Opciones Put menos posición de Venta de Opciones Put</w:t>
      </w:r>
    </w:p>
    <w:p w14:paraId="0A7BD1ED" w14:textId="10B45833" w:rsidR="00AF53D3" w:rsidRDefault="00AD5DAF" w:rsidP="00306147">
      <w:pPr>
        <w:pStyle w:val="Prrafodelista"/>
        <w:numPr>
          <w:ilvl w:val="0"/>
          <w:numId w:val="2"/>
        </w:numPr>
        <w:spacing w:after="0" w:line="240" w:lineRule="auto"/>
        <w:ind w:left="340" w:hanging="340"/>
        <w:jc w:val="both"/>
        <w:rPr>
          <w:rFonts w:eastAsia="Times New Roman" w:cs="Arial"/>
          <w:lang w:eastAsia="es-PE"/>
        </w:rPr>
      </w:pPr>
      <w:r>
        <w:rPr>
          <w:rFonts w:eastAsia="Times New Roman" w:cs="Arial"/>
          <w:lang w:eastAsia="es-PE"/>
        </w:rPr>
        <w:t>Calculada con una metodología análoga a la volatilidad</w:t>
      </w:r>
      <w:r w:rsidR="009232E3">
        <w:rPr>
          <w:rFonts w:eastAsia="Times New Roman" w:cs="Arial"/>
          <w:lang w:eastAsia="es-PE"/>
        </w:rPr>
        <w:t xml:space="preserve"> del tipo de cambio empleada en las notas del Anexo N° 9 “</w:t>
      </w:r>
      <w:r w:rsidR="00851FBD" w:rsidRPr="00851FBD">
        <w:rPr>
          <w:rFonts w:eastAsia="Times New Roman" w:cs="Arial"/>
          <w:color w:val="FF0000"/>
          <w:lang w:eastAsia="es-PE"/>
        </w:rPr>
        <w:t>Resultado de Modelos de Medición del Riesgo de Mercado</w:t>
      </w:r>
      <w:r w:rsidR="008C27E3" w:rsidRPr="00851FBD">
        <w:rPr>
          <w:rFonts w:eastAsia="Times New Roman" w:cs="Arial"/>
          <w:color w:val="FF0000"/>
          <w:lang w:eastAsia="es-PE"/>
        </w:rPr>
        <w:t>”</w:t>
      </w:r>
      <w:r w:rsidR="00851FBD">
        <w:rPr>
          <w:rFonts w:eastAsia="Times New Roman" w:cs="Arial"/>
          <w:lang w:eastAsia="es-PE"/>
        </w:rPr>
        <w:t>.</w:t>
      </w:r>
    </w:p>
    <w:p w14:paraId="45004F54" w14:textId="410F7EAF" w:rsidR="001A58AD" w:rsidRPr="002410CB" w:rsidRDefault="001A58AD" w:rsidP="00306147">
      <w:pPr>
        <w:pStyle w:val="Prrafodelista"/>
        <w:numPr>
          <w:ilvl w:val="0"/>
          <w:numId w:val="2"/>
        </w:numPr>
        <w:spacing w:after="0" w:line="240" w:lineRule="auto"/>
        <w:ind w:left="340" w:hanging="340"/>
        <w:jc w:val="both"/>
        <w:rPr>
          <w:rFonts w:eastAsia="Times New Roman" w:cs="Arial"/>
          <w:lang w:eastAsia="es-PE"/>
        </w:rPr>
      </w:pPr>
      <w:r w:rsidRPr="002410CB">
        <w:rPr>
          <w:rFonts w:eastAsia="Times New Roman" w:cs="Arial"/>
          <w:lang w:eastAsia="es-PE"/>
        </w:rPr>
        <w:t>Si el derivado resulta de la combinación de derivados más simples, detallar el nombre de la estrategia y los derivados que lo componen.  Ej</w:t>
      </w:r>
      <w:r w:rsidR="00E76E7B">
        <w:rPr>
          <w:rFonts w:eastAsia="Times New Roman" w:cs="Arial"/>
          <w:lang w:eastAsia="es-PE"/>
        </w:rPr>
        <w:t>.</w:t>
      </w:r>
      <w:r w:rsidRPr="002410CB">
        <w:rPr>
          <w:rFonts w:eastAsia="Times New Roman" w:cs="Arial"/>
          <w:lang w:eastAsia="es-PE"/>
        </w:rPr>
        <w:t>: un Call Spread se compone con la compra de una Opción Call y la venta de una Opción Call a distintos strike prices en el mismo activo subyacente.</w:t>
      </w:r>
    </w:p>
    <w:p w14:paraId="37F01079" w14:textId="77777777" w:rsidR="001A58AD" w:rsidRPr="002410CB" w:rsidRDefault="001A58AD" w:rsidP="00306147">
      <w:pPr>
        <w:pStyle w:val="Prrafodelista"/>
        <w:numPr>
          <w:ilvl w:val="0"/>
          <w:numId w:val="2"/>
        </w:numPr>
        <w:spacing w:after="0" w:line="240" w:lineRule="auto"/>
        <w:ind w:left="340" w:hanging="340"/>
        <w:jc w:val="both"/>
        <w:rPr>
          <w:rFonts w:eastAsia="Times New Roman" w:cs="Arial"/>
          <w:lang w:eastAsia="es-PE"/>
        </w:rPr>
      </w:pPr>
      <w:r w:rsidRPr="002410CB">
        <w:rPr>
          <w:rFonts w:eastAsia="Times New Roman" w:cs="Arial"/>
          <w:lang w:eastAsia="es-PE"/>
        </w:rPr>
        <w:t>El jefe o encargado de la Unidad de Riesgos deberá firmar en la parte correspondiente a “Elaborado Por”, haciéndose responsable por la información remitida a esta Superintendencia.</w:t>
      </w:r>
    </w:p>
    <w:p w14:paraId="0FB4CC53" w14:textId="77777777" w:rsidR="005844F7" w:rsidRDefault="005844F7">
      <w:pPr>
        <w:rPr>
          <w:rFonts w:ascii="Arial" w:eastAsia="Times New Roman" w:hAnsi="Arial" w:cs="Arial"/>
          <w:sz w:val="20"/>
          <w:szCs w:val="20"/>
          <w:lang w:eastAsia="es-PE"/>
        </w:rPr>
      </w:pPr>
    </w:p>
    <w:p w14:paraId="260F41E1" w14:textId="77777777" w:rsidR="005844F7" w:rsidRPr="005844F7" w:rsidRDefault="005844F7" w:rsidP="005844F7">
      <w:pPr>
        <w:rPr>
          <w:rFonts w:ascii="Arial" w:eastAsia="Times New Roman" w:hAnsi="Arial" w:cs="Arial"/>
          <w:sz w:val="20"/>
          <w:szCs w:val="20"/>
          <w:lang w:eastAsia="es-PE"/>
        </w:rPr>
      </w:pPr>
    </w:p>
    <w:p w14:paraId="325F1148" w14:textId="77777777" w:rsidR="005844F7" w:rsidRPr="005844F7" w:rsidRDefault="005844F7" w:rsidP="005844F7">
      <w:pPr>
        <w:rPr>
          <w:rFonts w:ascii="Arial" w:eastAsia="Times New Roman" w:hAnsi="Arial" w:cs="Arial"/>
          <w:sz w:val="20"/>
          <w:szCs w:val="20"/>
          <w:lang w:eastAsia="es-PE"/>
        </w:rPr>
      </w:pPr>
    </w:p>
    <w:p w14:paraId="28ADED5F" w14:textId="2DC2611E" w:rsidR="00871CC1" w:rsidRPr="00534B30" w:rsidRDefault="00871CC1" w:rsidP="0060141E">
      <w:pPr>
        <w:pStyle w:val="Prrafodelista"/>
        <w:spacing w:after="0" w:line="240" w:lineRule="auto"/>
        <w:ind w:left="340"/>
        <w:jc w:val="both"/>
        <w:rPr>
          <w:rFonts w:ascii="Arial" w:eastAsia="Times New Roman" w:hAnsi="Arial" w:cs="Arial"/>
          <w:sz w:val="20"/>
          <w:szCs w:val="20"/>
          <w:lang w:eastAsia="es-PE"/>
        </w:rPr>
      </w:pPr>
    </w:p>
    <w:sectPr w:rsidR="00871CC1" w:rsidRPr="00534B30" w:rsidSect="000D742A">
      <w:pgSz w:w="12240" w:h="15840"/>
      <w:pgMar w:top="1985" w:right="1701"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61AB8" w14:textId="77777777" w:rsidR="00DD1157" w:rsidRDefault="00DD1157" w:rsidP="005844F7">
      <w:pPr>
        <w:spacing w:after="0" w:line="240" w:lineRule="auto"/>
      </w:pPr>
      <w:r>
        <w:separator/>
      </w:r>
    </w:p>
  </w:endnote>
  <w:endnote w:type="continuationSeparator" w:id="0">
    <w:p w14:paraId="66E5B459" w14:textId="77777777" w:rsidR="00DD1157" w:rsidRDefault="00DD1157" w:rsidP="0058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62CFC" w14:textId="77777777" w:rsidR="00DD1157" w:rsidRDefault="00DD1157" w:rsidP="005844F7">
      <w:pPr>
        <w:spacing w:after="0" w:line="240" w:lineRule="auto"/>
      </w:pPr>
      <w:r>
        <w:separator/>
      </w:r>
    </w:p>
  </w:footnote>
  <w:footnote w:type="continuationSeparator" w:id="0">
    <w:p w14:paraId="2C608E99" w14:textId="77777777" w:rsidR="00DD1157" w:rsidRDefault="00DD1157" w:rsidP="005844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5E66"/>
    <w:multiLevelType w:val="hybridMultilevel"/>
    <w:tmpl w:val="94F4C048"/>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0F960CF"/>
    <w:multiLevelType w:val="hybridMultilevel"/>
    <w:tmpl w:val="6694D49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9195057"/>
    <w:multiLevelType w:val="hybridMultilevel"/>
    <w:tmpl w:val="0048472A"/>
    <w:lvl w:ilvl="0" w:tplc="E8F22DB6">
      <w:start w:val="9"/>
      <w:numFmt w:val="lowerLetter"/>
      <w:lvlText w:val="%1."/>
      <w:lvlJc w:val="left"/>
      <w:pPr>
        <w:ind w:left="645" w:hanging="360"/>
      </w:pPr>
      <w:rPr>
        <w:rFonts w:hint="default"/>
      </w:rPr>
    </w:lvl>
    <w:lvl w:ilvl="1" w:tplc="0C0A0019" w:tentative="1">
      <w:start w:val="1"/>
      <w:numFmt w:val="lowerLetter"/>
      <w:lvlText w:val="%2."/>
      <w:lvlJc w:val="left"/>
      <w:pPr>
        <w:ind w:left="1365" w:hanging="360"/>
      </w:pPr>
    </w:lvl>
    <w:lvl w:ilvl="2" w:tplc="0C0A001B" w:tentative="1">
      <w:start w:val="1"/>
      <w:numFmt w:val="lowerRoman"/>
      <w:lvlText w:val="%3."/>
      <w:lvlJc w:val="right"/>
      <w:pPr>
        <w:ind w:left="2085" w:hanging="180"/>
      </w:pPr>
    </w:lvl>
    <w:lvl w:ilvl="3" w:tplc="0C0A000F" w:tentative="1">
      <w:start w:val="1"/>
      <w:numFmt w:val="decimal"/>
      <w:lvlText w:val="%4."/>
      <w:lvlJc w:val="left"/>
      <w:pPr>
        <w:ind w:left="2805" w:hanging="360"/>
      </w:pPr>
    </w:lvl>
    <w:lvl w:ilvl="4" w:tplc="0C0A0019" w:tentative="1">
      <w:start w:val="1"/>
      <w:numFmt w:val="lowerLetter"/>
      <w:lvlText w:val="%5."/>
      <w:lvlJc w:val="left"/>
      <w:pPr>
        <w:ind w:left="3525" w:hanging="360"/>
      </w:pPr>
    </w:lvl>
    <w:lvl w:ilvl="5" w:tplc="0C0A001B" w:tentative="1">
      <w:start w:val="1"/>
      <w:numFmt w:val="lowerRoman"/>
      <w:lvlText w:val="%6."/>
      <w:lvlJc w:val="right"/>
      <w:pPr>
        <w:ind w:left="4245" w:hanging="180"/>
      </w:pPr>
    </w:lvl>
    <w:lvl w:ilvl="6" w:tplc="0C0A000F" w:tentative="1">
      <w:start w:val="1"/>
      <w:numFmt w:val="decimal"/>
      <w:lvlText w:val="%7."/>
      <w:lvlJc w:val="left"/>
      <w:pPr>
        <w:ind w:left="4965" w:hanging="360"/>
      </w:pPr>
    </w:lvl>
    <w:lvl w:ilvl="7" w:tplc="0C0A0019" w:tentative="1">
      <w:start w:val="1"/>
      <w:numFmt w:val="lowerLetter"/>
      <w:lvlText w:val="%8."/>
      <w:lvlJc w:val="left"/>
      <w:pPr>
        <w:ind w:left="5685" w:hanging="360"/>
      </w:pPr>
    </w:lvl>
    <w:lvl w:ilvl="8" w:tplc="0C0A001B" w:tentative="1">
      <w:start w:val="1"/>
      <w:numFmt w:val="lowerRoman"/>
      <w:lvlText w:val="%9."/>
      <w:lvlJc w:val="right"/>
      <w:pPr>
        <w:ind w:left="6405" w:hanging="180"/>
      </w:pPr>
    </w:lvl>
  </w:abstractNum>
  <w:abstractNum w:abstractNumId="3" w15:restartNumberingAfterBreak="0">
    <w:nsid w:val="3BEF0638"/>
    <w:multiLevelType w:val="hybridMultilevel"/>
    <w:tmpl w:val="CA628FD0"/>
    <w:lvl w:ilvl="0" w:tplc="0C0A0011">
      <w:start w:val="1"/>
      <w:numFmt w:val="decimal"/>
      <w:lvlText w:val="%1)"/>
      <w:lvlJc w:val="left"/>
      <w:pPr>
        <w:ind w:left="720" w:hanging="360"/>
      </w:pPr>
      <w:rPr>
        <w:rFonts w:hint="default"/>
      </w:rPr>
    </w:lvl>
    <w:lvl w:ilvl="1" w:tplc="945ADFC4">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61B22AA"/>
    <w:multiLevelType w:val="hybridMultilevel"/>
    <w:tmpl w:val="E3B8B048"/>
    <w:lvl w:ilvl="0" w:tplc="0C0A0011">
      <w:start w:val="1"/>
      <w:numFmt w:val="decimal"/>
      <w:lvlText w:val="%1)"/>
      <w:lvlJc w:val="left"/>
      <w:pPr>
        <w:ind w:left="360" w:hanging="360"/>
      </w:pPr>
      <w:rPr>
        <w:rFonts w:hint="default"/>
      </w:rPr>
    </w:lvl>
    <w:lvl w:ilvl="1" w:tplc="7340DE9E">
      <w:start w:val="1"/>
      <w:numFmt w:val="lowerRoman"/>
      <w:lvlText w:val="%2)"/>
      <w:lvlJc w:val="left"/>
      <w:pPr>
        <w:ind w:left="1440" w:hanging="720"/>
      </w:pPr>
      <w:rPr>
        <w:rFonts w:hint="default"/>
      </w:rPr>
    </w:lvl>
    <w:lvl w:ilvl="2" w:tplc="8C02902C">
      <w:start w:val="1"/>
      <w:numFmt w:val="lowerLetter"/>
      <w:lvlText w:val="%3."/>
      <w:lvlJc w:val="left"/>
      <w:pPr>
        <w:ind w:left="1980" w:hanging="360"/>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59A427D6"/>
    <w:multiLevelType w:val="hybridMultilevel"/>
    <w:tmpl w:val="CB50479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68D7D54"/>
    <w:multiLevelType w:val="hybridMultilevel"/>
    <w:tmpl w:val="622A45E4"/>
    <w:lvl w:ilvl="0" w:tplc="0C0A001B">
      <w:start w:val="1"/>
      <w:numFmt w:val="lowerRoman"/>
      <w:lvlText w:val="%1."/>
      <w:lvlJc w:val="right"/>
      <w:pPr>
        <w:ind w:left="1365" w:hanging="360"/>
      </w:pPr>
    </w:lvl>
    <w:lvl w:ilvl="1" w:tplc="0C0A0019" w:tentative="1">
      <w:start w:val="1"/>
      <w:numFmt w:val="lowerLetter"/>
      <w:lvlText w:val="%2."/>
      <w:lvlJc w:val="left"/>
      <w:pPr>
        <w:ind w:left="2085" w:hanging="360"/>
      </w:pPr>
    </w:lvl>
    <w:lvl w:ilvl="2" w:tplc="0C0A001B" w:tentative="1">
      <w:start w:val="1"/>
      <w:numFmt w:val="lowerRoman"/>
      <w:lvlText w:val="%3."/>
      <w:lvlJc w:val="right"/>
      <w:pPr>
        <w:ind w:left="2805" w:hanging="180"/>
      </w:pPr>
    </w:lvl>
    <w:lvl w:ilvl="3" w:tplc="0C0A000F" w:tentative="1">
      <w:start w:val="1"/>
      <w:numFmt w:val="decimal"/>
      <w:lvlText w:val="%4."/>
      <w:lvlJc w:val="left"/>
      <w:pPr>
        <w:ind w:left="3525" w:hanging="360"/>
      </w:pPr>
    </w:lvl>
    <w:lvl w:ilvl="4" w:tplc="0C0A0019" w:tentative="1">
      <w:start w:val="1"/>
      <w:numFmt w:val="lowerLetter"/>
      <w:lvlText w:val="%5."/>
      <w:lvlJc w:val="left"/>
      <w:pPr>
        <w:ind w:left="4245" w:hanging="360"/>
      </w:pPr>
    </w:lvl>
    <w:lvl w:ilvl="5" w:tplc="0C0A001B" w:tentative="1">
      <w:start w:val="1"/>
      <w:numFmt w:val="lowerRoman"/>
      <w:lvlText w:val="%6."/>
      <w:lvlJc w:val="right"/>
      <w:pPr>
        <w:ind w:left="4965" w:hanging="180"/>
      </w:pPr>
    </w:lvl>
    <w:lvl w:ilvl="6" w:tplc="0C0A000F" w:tentative="1">
      <w:start w:val="1"/>
      <w:numFmt w:val="decimal"/>
      <w:lvlText w:val="%7."/>
      <w:lvlJc w:val="left"/>
      <w:pPr>
        <w:ind w:left="5685" w:hanging="360"/>
      </w:pPr>
    </w:lvl>
    <w:lvl w:ilvl="7" w:tplc="0C0A0019" w:tentative="1">
      <w:start w:val="1"/>
      <w:numFmt w:val="lowerLetter"/>
      <w:lvlText w:val="%8."/>
      <w:lvlJc w:val="left"/>
      <w:pPr>
        <w:ind w:left="6405" w:hanging="360"/>
      </w:pPr>
    </w:lvl>
    <w:lvl w:ilvl="8" w:tplc="0C0A001B" w:tentative="1">
      <w:start w:val="1"/>
      <w:numFmt w:val="lowerRoman"/>
      <w:lvlText w:val="%9."/>
      <w:lvlJc w:val="right"/>
      <w:pPr>
        <w:ind w:left="7125" w:hanging="180"/>
      </w:pPr>
    </w:lvl>
  </w:abstractNum>
  <w:num w:numId="1" w16cid:durableId="678776178">
    <w:abstractNumId w:val="5"/>
  </w:num>
  <w:num w:numId="2" w16cid:durableId="1430855092">
    <w:abstractNumId w:val="4"/>
  </w:num>
  <w:num w:numId="3" w16cid:durableId="935942859">
    <w:abstractNumId w:val="1"/>
  </w:num>
  <w:num w:numId="4" w16cid:durableId="1630630489">
    <w:abstractNumId w:val="0"/>
  </w:num>
  <w:num w:numId="5" w16cid:durableId="95833497">
    <w:abstractNumId w:val="2"/>
  </w:num>
  <w:num w:numId="6" w16cid:durableId="827789177">
    <w:abstractNumId w:val="6"/>
  </w:num>
  <w:num w:numId="7" w16cid:durableId="11693695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C1"/>
    <w:rsid w:val="00007239"/>
    <w:rsid w:val="000242BD"/>
    <w:rsid w:val="00044DE2"/>
    <w:rsid w:val="000470C1"/>
    <w:rsid w:val="00053C91"/>
    <w:rsid w:val="00066F2A"/>
    <w:rsid w:val="000C5E25"/>
    <w:rsid w:val="000C7D50"/>
    <w:rsid w:val="000D742A"/>
    <w:rsid w:val="00146EA3"/>
    <w:rsid w:val="001737F8"/>
    <w:rsid w:val="001A58AD"/>
    <w:rsid w:val="001D0655"/>
    <w:rsid w:val="002410CB"/>
    <w:rsid w:val="00282848"/>
    <w:rsid w:val="00296C61"/>
    <w:rsid w:val="002F27CE"/>
    <w:rsid w:val="00306147"/>
    <w:rsid w:val="003132C6"/>
    <w:rsid w:val="00322B24"/>
    <w:rsid w:val="003305B1"/>
    <w:rsid w:val="00334E8B"/>
    <w:rsid w:val="00385819"/>
    <w:rsid w:val="003C6D6E"/>
    <w:rsid w:val="003D72B9"/>
    <w:rsid w:val="00460DDB"/>
    <w:rsid w:val="00511F4E"/>
    <w:rsid w:val="005315D0"/>
    <w:rsid w:val="00534B30"/>
    <w:rsid w:val="00543FB2"/>
    <w:rsid w:val="005452CD"/>
    <w:rsid w:val="00567A71"/>
    <w:rsid w:val="005844F7"/>
    <w:rsid w:val="005A43A1"/>
    <w:rsid w:val="005C1C34"/>
    <w:rsid w:val="005E5504"/>
    <w:rsid w:val="0060141E"/>
    <w:rsid w:val="00603564"/>
    <w:rsid w:val="00636280"/>
    <w:rsid w:val="006536DF"/>
    <w:rsid w:val="00674D76"/>
    <w:rsid w:val="006B676A"/>
    <w:rsid w:val="00703D98"/>
    <w:rsid w:val="00710B58"/>
    <w:rsid w:val="0078362B"/>
    <w:rsid w:val="007C767B"/>
    <w:rsid w:val="007F4A86"/>
    <w:rsid w:val="00813982"/>
    <w:rsid w:val="00826308"/>
    <w:rsid w:val="0083478C"/>
    <w:rsid w:val="008469DF"/>
    <w:rsid w:val="00850D2D"/>
    <w:rsid w:val="00851A83"/>
    <w:rsid w:val="00851FBD"/>
    <w:rsid w:val="00871CC1"/>
    <w:rsid w:val="008C27E3"/>
    <w:rsid w:val="009119AC"/>
    <w:rsid w:val="00914FC0"/>
    <w:rsid w:val="009171CC"/>
    <w:rsid w:val="00917638"/>
    <w:rsid w:val="009232E3"/>
    <w:rsid w:val="009314A8"/>
    <w:rsid w:val="0094302B"/>
    <w:rsid w:val="00961307"/>
    <w:rsid w:val="00977FC4"/>
    <w:rsid w:val="009807F1"/>
    <w:rsid w:val="009907D0"/>
    <w:rsid w:val="00A33BFA"/>
    <w:rsid w:val="00AB003B"/>
    <w:rsid w:val="00AD0A2C"/>
    <w:rsid w:val="00AD5DAF"/>
    <w:rsid w:val="00AF53D3"/>
    <w:rsid w:val="00AF555C"/>
    <w:rsid w:val="00AF7A99"/>
    <w:rsid w:val="00B23924"/>
    <w:rsid w:val="00B53467"/>
    <w:rsid w:val="00B545AB"/>
    <w:rsid w:val="00B6523C"/>
    <w:rsid w:val="00BC689A"/>
    <w:rsid w:val="00C15206"/>
    <w:rsid w:val="00C2415D"/>
    <w:rsid w:val="00C6634A"/>
    <w:rsid w:val="00DA29F3"/>
    <w:rsid w:val="00DD1157"/>
    <w:rsid w:val="00E022A3"/>
    <w:rsid w:val="00E1003F"/>
    <w:rsid w:val="00E66E65"/>
    <w:rsid w:val="00E76E7B"/>
    <w:rsid w:val="00EA7CBE"/>
    <w:rsid w:val="00ED1505"/>
    <w:rsid w:val="00ED3A7E"/>
    <w:rsid w:val="00EE34B6"/>
    <w:rsid w:val="00EF66B2"/>
    <w:rsid w:val="00F10ACC"/>
    <w:rsid w:val="00F335FE"/>
    <w:rsid w:val="00F34851"/>
    <w:rsid w:val="00F508B4"/>
    <w:rsid w:val="00F61C8E"/>
    <w:rsid w:val="00F61D96"/>
    <w:rsid w:val="00F86BA3"/>
    <w:rsid w:val="00FA60FE"/>
    <w:rsid w:val="00FB0685"/>
    <w:rsid w:val="00FC0F9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D92D9"/>
  <w15:chartTrackingRefBased/>
  <w15:docId w15:val="{D9E75989-7AF0-4C20-905B-AD772DDFC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Calibri" w:hAnsi="Arial Narrow"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467"/>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242BD"/>
    <w:pPr>
      <w:ind w:left="720"/>
      <w:contextualSpacing/>
    </w:pPr>
  </w:style>
  <w:style w:type="paragraph" w:styleId="Textonotapie">
    <w:name w:val="footnote text"/>
    <w:basedOn w:val="Normal"/>
    <w:link w:val="TextonotapieCar"/>
    <w:uiPriority w:val="99"/>
    <w:semiHidden/>
    <w:unhideWhenUsed/>
    <w:rsid w:val="005844F7"/>
    <w:rPr>
      <w:sz w:val="20"/>
      <w:szCs w:val="20"/>
    </w:rPr>
  </w:style>
  <w:style w:type="character" w:customStyle="1" w:styleId="TextonotapieCar">
    <w:name w:val="Texto nota pie Car"/>
    <w:link w:val="Textonotapie"/>
    <w:uiPriority w:val="99"/>
    <w:semiHidden/>
    <w:rsid w:val="005844F7"/>
    <w:rPr>
      <w:lang w:val="es-PE" w:eastAsia="en-US"/>
    </w:rPr>
  </w:style>
  <w:style w:type="character" w:styleId="Refdenotaalpie">
    <w:name w:val="footnote reference"/>
    <w:uiPriority w:val="99"/>
    <w:semiHidden/>
    <w:unhideWhenUsed/>
    <w:rsid w:val="005844F7"/>
    <w:rPr>
      <w:vertAlign w:val="superscript"/>
    </w:rPr>
  </w:style>
  <w:style w:type="paragraph" w:styleId="Revisin">
    <w:name w:val="Revision"/>
    <w:hidden/>
    <w:uiPriority w:val="99"/>
    <w:semiHidden/>
    <w:rsid w:val="00F335FE"/>
    <w:rPr>
      <w:sz w:val="22"/>
      <w:szCs w:val="22"/>
      <w:lang w:eastAsia="en-US"/>
    </w:rPr>
  </w:style>
  <w:style w:type="character" w:styleId="Refdecomentario">
    <w:name w:val="annotation reference"/>
    <w:uiPriority w:val="99"/>
    <w:semiHidden/>
    <w:unhideWhenUsed/>
    <w:rsid w:val="00F335FE"/>
    <w:rPr>
      <w:sz w:val="16"/>
      <w:szCs w:val="16"/>
    </w:rPr>
  </w:style>
  <w:style w:type="paragraph" w:styleId="Textocomentario">
    <w:name w:val="annotation text"/>
    <w:basedOn w:val="Normal"/>
    <w:link w:val="TextocomentarioCar"/>
    <w:uiPriority w:val="99"/>
    <w:unhideWhenUsed/>
    <w:rsid w:val="00F335FE"/>
    <w:rPr>
      <w:sz w:val="20"/>
      <w:szCs w:val="20"/>
    </w:rPr>
  </w:style>
  <w:style w:type="character" w:customStyle="1" w:styleId="TextocomentarioCar">
    <w:name w:val="Texto comentario Car"/>
    <w:link w:val="Textocomentario"/>
    <w:uiPriority w:val="99"/>
    <w:rsid w:val="00F335FE"/>
    <w:rPr>
      <w:lang w:eastAsia="en-US"/>
    </w:rPr>
  </w:style>
  <w:style w:type="paragraph" w:styleId="Asuntodelcomentario">
    <w:name w:val="annotation subject"/>
    <w:basedOn w:val="Textocomentario"/>
    <w:next w:val="Textocomentario"/>
    <w:link w:val="AsuntodelcomentarioCar"/>
    <w:uiPriority w:val="99"/>
    <w:semiHidden/>
    <w:unhideWhenUsed/>
    <w:rsid w:val="00F335FE"/>
    <w:rPr>
      <w:b/>
      <w:bCs/>
    </w:rPr>
  </w:style>
  <w:style w:type="character" w:customStyle="1" w:styleId="AsuntodelcomentarioCar">
    <w:name w:val="Asunto del comentario Car"/>
    <w:link w:val="Asuntodelcomentario"/>
    <w:uiPriority w:val="99"/>
    <w:semiHidden/>
    <w:rsid w:val="00F335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9870">
      <w:bodyDiv w:val="1"/>
      <w:marLeft w:val="0"/>
      <w:marRight w:val="0"/>
      <w:marTop w:val="0"/>
      <w:marBottom w:val="0"/>
      <w:divBdr>
        <w:top w:val="none" w:sz="0" w:space="0" w:color="auto"/>
        <w:left w:val="none" w:sz="0" w:space="0" w:color="auto"/>
        <w:bottom w:val="none" w:sz="0" w:space="0" w:color="auto"/>
        <w:right w:val="none" w:sz="0" w:space="0" w:color="auto"/>
      </w:divBdr>
    </w:div>
    <w:div w:id="109782500">
      <w:bodyDiv w:val="1"/>
      <w:marLeft w:val="0"/>
      <w:marRight w:val="0"/>
      <w:marTop w:val="0"/>
      <w:marBottom w:val="0"/>
      <w:divBdr>
        <w:top w:val="none" w:sz="0" w:space="0" w:color="auto"/>
        <w:left w:val="none" w:sz="0" w:space="0" w:color="auto"/>
        <w:bottom w:val="none" w:sz="0" w:space="0" w:color="auto"/>
        <w:right w:val="none" w:sz="0" w:space="0" w:color="auto"/>
      </w:divBdr>
    </w:div>
    <w:div w:id="223220864">
      <w:bodyDiv w:val="1"/>
      <w:marLeft w:val="0"/>
      <w:marRight w:val="0"/>
      <w:marTop w:val="0"/>
      <w:marBottom w:val="0"/>
      <w:divBdr>
        <w:top w:val="none" w:sz="0" w:space="0" w:color="auto"/>
        <w:left w:val="none" w:sz="0" w:space="0" w:color="auto"/>
        <w:bottom w:val="none" w:sz="0" w:space="0" w:color="auto"/>
        <w:right w:val="none" w:sz="0" w:space="0" w:color="auto"/>
      </w:divBdr>
    </w:div>
    <w:div w:id="272783936">
      <w:bodyDiv w:val="1"/>
      <w:marLeft w:val="0"/>
      <w:marRight w:val="0"/>
      <w:marTop w:val="0"/>
      <w:marBottom w:val="0"/>
      <w:divBdr>
        <w:top w:val="none" w:sz="0" w:space="0" w:color="auto"/>
        <w:left w:val="none" w:sz="0" w:space="0" w:color="auto"/>
        <w:bottom w:val="none" w:sz="0" w:space="0" w:color="auto"/>
        <w:right w:val="none" w:sz="0" w:space="0" w:color="auto"/>
      </w:divBdr>
    </w:div>
    <w:div w:id="274365923">
      <w:bodyDiv w:val="1"/>
      <w:marLeft w:val="0"/>
      <w:marRight w:val="0"/>
      <w:marTop w:val="0"/>
      <w:marBottom w:val="0"/>
      <w:divBdr>
        <w:top w:val="none" w:sz="0" w:space="0" w:color="auto"/>
        <w:left w:val="none" w:sz="0" w:space="0" w:color="auto"/>
        <w:bottom w:val="none" w:sz="0" w:space="0" w:color="auto"/>
        <w:right w:val="none" w:sz="0" w:space="0" w:color="auto"/>
      </w:divBdr>
    </w:div>
    <w:div w:id="281885485">
      <w:bodyDiv w:val="1"/>
      <w:marLeft w:val="0"/>
      <w:marRight w:val="0"/>
      <w:marTop w:val="0"/>
      <w:marBottom w:val="0"/>
      <w:divBdr>
        <w:top w:val="none" w:sz="0" w:space="0" w:color="auto"/>
        <w:left w:val="none" w:sz="0" w:space="0" w:color="auto"/>
        <w:bottom w:val="none" w:sz="0" w:space="0" w:color="auto"/>
        <w:right w:val="none" w:sz="0" w:space="0" w:color="auto"/>
      </w:divBdr>
    </w:div>
    <w:div w:id="318576406">
      <w:bodyDiv w:val="1"/>
      <w:marLeft w:val="0"/>
      <w:marRight w:val="0"/>
      <w:marTop w:val="0"/>
      <w:marBottom w:val="0"/>
      <w:divBdr>
        <w:top w:val="none" w:sz="0" w:space="0" w:color="auto"/>
        <w:left w:val="none" w:sz="0" w:space="0" w:color="auto"/>
        <w:bottom w:val="none" w:sz="0" w:space="0" w:color="auto"/>
        <w:right w:val="none" w:sz="0" w:space="0" w:color="auto"/>
      </w:divBdr>
    </w:div>
    <w:div w:id="349601761">
      <w:bodyDiv w:val="1"/>
      <w:marLeft w:val="0"/>
      <w:marRight w:val="0"/>
      <w:marTop w:val="0"/>
      <w:marBottom w:val="0"/>
      <w:divBdr>
        <w:top w:val="none" w:sz="0" w:space="0" w:color="auto"/>
        <w:left w:val="none" w:sz="0" w:space="0" w:color="auto"/>
        <w:bottom w:val="none" w:sz="0" w:space="0" w:color="auto"/>
        <w:right w:val="none" w:sz="0" w:space="0" w:color="auto"/>
      </w:divBdr>
    </w:div>
    <w:div w:id="376123538">
      <w:bodyDiv w:val="1"/>
      <w:marLeft w:val="0"/>
      <w:marRight w:val="0"/>
      <w:marTop w:val="0"/>
      <w:marBottom w:val="0"/>
      <w:divBdr>
        <w:top w:val="none" w:sz="0" w:space="0" w:color="auto"/>
        <w:left w:val="none" w:sz="0" w:space="0" w:color="auto"/>
        <w:bottom w:val="none" w:sz="0" w:space="0" w:color="auto"/>
        <w:right w:val="none" w:sz="0" w:space="0" w:color="auto"/>
      </w:divBdr>
    </w:div>
    <w:div w:id="393627190">
      <w:bodyDiv w:val="1"/>
      <w:marLeft w:val="0"/>
      <w:marRight w:val="0"/>
      <w:marTop w:val="0"/>
      <w:marBottom w:val="0"/>
      <w:divBdr>
        <w:top w:val="none" w:sz="0" w:space="0" w:color="auto"/>
        <w:left w:val="none" w:sz="0" w:space="0" w:color="auto"/>
        <w:bottom w:val="none" w:sz="0" w:space="0" w:color="auto"/>
        <w:right w:val="none" w:sz="0" w:space="0" w:color="auto"/>
      </w:divBdr>
    </w:div>
    <w:div w:id="414782753">
      <w:bodyDiv w:val="1"/>
      <w:marLeft w:val="0"/>
      <w:marRight w:val="0"/>
      <w:marTop w:val="0"/>
      <w:marBottom w:val="0"/>
      <w:divBdr>
        <w:top w:val="none" w:sz="0" w:space="0" w:color="auto"/>
        <w:left w:val="none" w:sz="0" w:space="0" w:color="auto"/>
        <w:bottom w:val="none" w:sz="0" w:space="0" w:color="auto"/>
        <w:right w:val="none" w:sz="0" w:space="0" w:color="auto"/>
      </w:divBdr>
    </w:div>
    <w:div w:id="434792659">
      <w:bodyDiv w:val="1"/>
      <w:marLeft w:val="0"/>
      <w:marRight w:val="0"/>
      <w:marTop w:val="0"/>
      <w:marBottom w:val="0"/>
      <w:divBdr>
        <w:top w:val="none" w:sz="0" w:space="0" w:color="auto"/>
        <w:left w:val="none" w:sz="0" w:space="0" w:color="auto"/>
        <w:bottom w:val="none" w:sz="0" w:space="0" w:color="auto"/>
        <w:right w:val="none" w:sz="0" w:space="0" w:color="auto"/>
      </w:divBdr>
    </w:div>
    <w:div w:id="437339440">
      <w:bodyDiv w:val="1"/>
      <w:marLeft w:val="0"/>
      <w:marRight w:val="0"/>
      <w:marTop w:val="0"/>
      <w:marBottom w:val="0"/>
      <w:divBdr>
        <w:top w:val="none" w:sz="0" w:space="0" w:color="auto"/>
        <w:left w:val="none" w:sz="0" w:space="0" w:color="auto"/>
        <w:bottom w:val="none" w:sz="0" w:space="0" w:color="auto"/>
        <w:right w:val="none" w:sz="0" w:space="0" w:color="auto"/>
      </w:divBdr>
    </w:div>
    <w:div w:id="502935626">
      <w:bodyDiv w:val="1"/>
      <w:marLeft w:val="0"/>
      <w:marRight w:val="0"/>
      <w:marTop w:val="0"/>
      <w:marBottom w:val="0"/>
      <w:divBdr>
        <w:top w:val="none" w:sz="0" w:space="0" w:color="auto"/>
        <w:left w:val="none" w:sz="0" w:space="0" w:color="auto"/>
        <w:bottom w:val="none" w:sz="0" w:space="0" w:color="auto"/>
        <w:right w:val="none" w:sz="0" w:space="0" w:color="auto"/>
      </w:divBdr>
    </w:div>
    <w:div w:id="516509118">
      <w:bodyDiv w:val="1"/>
      <w:marLeft w:val="0"/>
      <w:marRight w:val="0"/>
      <w:marTop w:val="0"/>
      <w:marBottom w:val="0"/>
      <w:divBdr>
        <w:top w:val="none" w:sz="0" w:space="0" w:color="auto"/>
        <w:left w:val="none" w:sz="0" w:space="0" w:color="auto"/>
        <w:bottom w:val="none" w:sz="0" w:space="0" w:color="auto"/>
        <w:right w:val="none" w:sz="0" w:space="0" w:color="auto"/>
      </w:divBdr>
    </w:div>
    <w:div w:id="553009908">
      <w:bodyDiv w:val="1"/>
      <w:marLeft w:val="0"/>
      <w:marRight w:val="0"/>
      <w:marTop w:val="0"/>
      <w:marBottom w:val="0"/>
      <w:divBdr>
        <w:top w:val="none" w:sz="0" w:space="0" w:color="auto"/>
        <w:left w:val="none" w:sz="0" w:space="0" w:color="auto"/>
        <w:bottom w:val="none" w:sz="0" w:space="0" w:color="auto"/>
        <w:right w:val="none" w:sz="0" w:space="0" w:color="auto"/>
      </w:divBdr>
    </w:div>
    <w:div w:id="579684078">
      <w:bodyDiv w:val="1"/>
      <w:marLeft w:val="0"/>
      <w:marRight w:val="0"/>
      <w:marTop w:val="0"/>
      <w:marBottom w:val="0"/>
      <w:divBdr>
        <w:top w:val="none" w:sz="0" w:space="0" w:color="auto"/>
        <w:left w:val="none" w:sz="0" w:space="0" w:color="auto"/>
        <w:bottom w:val="none" w:sz="0" w:space="0" w:color="auto"/>
        <w:right w:val="none" w:sz="0" w:space="0" w:color="auto"/>
      </w:divBdr>
    </w:div>
    <w:div w:id="599409716">
      <w:bodyDiv w:val="1"/>
      <w:marLeft w:val="0"/>
      <w:marRight w:val="0"/>
      <w:marTop w:val="0"/>
      <w:marBottom w:val="0"/>
      <w:divBdr>
        <w:top w:val="none" w:sz="0" w:space="0" w:color="auto"/>
        <w:left w:val="none" w:sz="0" w:space="0" w:color="auto"/>
        <w:bottom w:val="none" w:sz="0" w:space="0" w:color="auto"/>
        <w:right w:val="none" w:sz="0" w:space="0" w:color="auto"/>
      </w:divBdr>
    </w:div>
    <w:div w:id="639304239">
      <w:bodyDiv w:val="1"/>
      <w:marLeft w:val="0"/>
      <w:marRight w:val="0"/>
      <w:marTop w:val="0"/>
      <w:marBottom w:val="0"/>
      <w:divBdr>
        <w:top w:val="none" w:sz="0" w:space="0" w:color="auto"/>
        <w:left w:val="none" w:sz="0" w:space="0" w:color="auto"/>
        <w:bottom w:val="none" w:sz="0" w:space="0" w:color="auto"/>
        <w:right w:val="none" w:sz="0" w:space="0" w:color="auto"/>
      </w:divBdr>
    </w:div>
    <w:div w:id="666634837">
      <w:bodyDiv w:val="1"/>
      <w:marLeft w:val="0"/>
      <w:marRight w:val="0"/>
      <w:marTop w:val="0"/>
      <w:marBottom w:val="0"/>
      <w:divBdr>
        <w:top w:val="none" w:sz="0" w:space="0" w:color="auto"/>
        <w:left w:val="none" w:sz="0" w:space="0" w:color="auto"/>
        <w:bottom w:val="none" w:sz="0" w:space="0" w:color="auto"/>
        <w:right w:val="none" w:sz="0" w:space="0" w:color="auto"/>
      </w:divBdr>
    </w:div>
    <w:div w:id="780026724">
      <w:bodyDiv w:val="1"/>
      <w:marLeft w:val="0"/>
      <w:marRight w:val="0"/>
      <w:marTop w:val="0"/>
      <w:marBottom w:val="0"/>
      <w:divBdr>
        <w:top w:val="none" w:sz="0" w:space="0" w:color="auto"/>
        <w:left w:val="none" w:sz="0" w:space="0" w:color="auto"/>
        <w:bottom w:val="none" w:sz="0" w:space="0" w:color="auto"/>
        <w:right w:val="none" w:sz="0" w:space="0" w:color="auto"/>
      </w:divBdr>
    </w:div>
    <w:div w:id="790591925">
      <w:bodyDiv w:val="1"/>
      <w:marLeft w:val="0"/>
      <w:marRight w:val="0"/>
      <w:marTop w:val="0"/>
      <w:marBottom w:val="0"/>
      <w:divBdr>
        <w:top w:val="none" w:sz="0" w:space="0" w:color="auto"/>
        <w:left w:val="none" w:sz="0" w:space="0" w:color="auto"/>
        <w:bottom w:val="none" w:sz="0" w:space="0" w:color="auto"/>
        <w:right w:val="none" w:sz="0" w:space="0" w:color="auto"/>
      </w:divBdr>
    </w:div>
    <w:div w:id="810296015">
      <w:bodyDiv w:val="1"/>
      <w:marLeft w:val="0"/>
      <w:marRight w:val="0"/>
      <w:marTop w:val="0"/>
      <w:marBottom w:val="0"/>
      <w:divBdr>
        <w:top w:val="none" w:sz="0" w:space="0" w:color="auto"/>
        <w:left w:val="none" w:sz="0" w:space="0" w:color="auto"/>
        <w:bottom w:val="none" w:sz="0" w:space="0" w:color="auto"/>
        <w:right w:val="none" w:sz="0" w:space="0" w:color="auto"/>
      </w:divBdr>
    </w:div>
    <w:div w:id="811366450">
      <w:bodyDiv w:val="1"/>
      <w:marLeft w:val="0"/>
      <w:marRight w:val="0"/>
      <w:marTop w:val="0"/>
      <w:marBottom w:val="0"/>
      <w:divBdr>
        <w:top w:val="none" w:sz="0" w:space="0" w:color="auto"/>
        <w:left w:val="none" w:sz="0" w:space="0" w:color="auto"/>
        <w:bottom w:val="none" w:sz="0" w:space="0" w:color="auto"/>
        <w:right w:val="none" w:sz="0" w:space="0" w:color="auto"/>
      </w:divBdr>
    </w:div>
    <w:div w:id="869609602">
      <w:bodyDiv w:val="1"/>
      <w:marLeft w:val="0"/>
      <w:marRight w:val="0"/>
      <w:marTop w:val="0"/>
      <w:marBottom w:val="0"/>
      <w:divBdr>
        <w:top w:val="none" w:sz="0" w:space="0" w:color="auto"/>
        <w:left w:val="none" w:sz="0" w:space="0" w:color="auto"/>
        <w:bottom w:val="none" w:sz="0" w:space="0" w:color="auto"/>
        <w:right w:val="none" w:sz="0" w:space="0" w:color="auto"/>
      </w:divBdr>
    </w:div>
    <w:div w:id="919828033">
      <w:bodyDiv w:val="1"/>
      <w:marLeft w:val="0"/>
      <w:marRight w:val="0"/>
      <w:marTop w:val="0"/>
      <w:marBottom w:val="0"/>
      <w:divBdr>
        <w:top w:val="none" w:sz="0" w:space="0" w:color="auto"/>
        <w:left w:val="none" w:sz="0" w:space="0" w:color="auto"/>
        <w:bottom w:val="none" w:sz="0" w:space="0" w:color="auto"/>
        <w:right w:val="none" w:sz="0" w:space="0" w:color="auto"/>
      </w:divBdr>
    </w:div>
    <w:div w:id="957029233">
      <w:bodyDiv w:val="1"/>
      <w:marLeft w:val="0"/>
      <w:marRight w:val="0"/>
      <w:marTop w:val="0"/>
      <w:marBottom w:val="0"/>
      <w:divBdr>
        <w:top w:val="none" w:sz="0" w:space="0" w:color="auto"/>
        <w:left w:val="none" w:sz="0" w:space="0" w:color="auto"/>
        <w:bottom w:val="none" w:sz="0" w:space="0" w:color="auto"/>
        <w:right w:val="none" w:sz="0" w:space="0" w:color="auto"/>
      </w:divBdr>
    </w:div>
    <w:div w:id="978460067">
      <w:bodyDiv w:val="1"/>
      <w:marLeft w:val="0"/>
      <w:marRight w:val="0"/>
      <w:marTop w:val="0"/>
      <w:marBottom w:val="0"/>
      <w:divBdr>
        <w:top w:val="none" w:sz="0" w:space="0" w:color="auto"/>
        <w:left w:val="none" w:sz="0" w:space="0" w:color="auto"/>
        <w:bottom w:val="none" w:sz="0" w:space="0" w:color="auto"/>
        <w:right w:val="none" w:sz="0" w:space="0" w:color="auto"/>
      </w:divBdr>
    </w:div>
    <w:div w:id="1036386994">
      <w:bodyDiv w:val="1"/>
      <w:marLeft w:val="0"/>
      <w:marRight w:val="0"/>
      <w:marTop w:val="0"/>
      <w:marBottom w:val="0"/>
      <w:divBdr>
        <w:top w:val="none" w:sz="0" w:space="0" w:color="auto"/>
        <w:left w:val="none" w:sz="0" w:space="0" w:color="auto"/>
        <w:bottom w:val="none" w:sz="0" w:space="0" w:color="auto"/>
        <w:right w:val="none" w:sz="0" w:space="0" w:color="auto"/>
      </w:divBdr>
    </w:div>
    <w:div w:id="1072972454">
      <w:bodyDiv w:val="1"/>
      <w:marLeft w:val="0"/>
      <w:marRight w:val="0"/>
      <w:marTop w:val="0"/>
      <w:marBottom w:val="0"/>
      <w:divBdr>
        <w:top w:val="none" w:sz="0" w:space="0" w:color="auto"/>
        <w:left w:val="none" w:sz="0" w:space="0" w:color="auto"/>
        <w:bottom w:val="none" w:sz="0" w:space="0" w:color="auto"/>
        <w:right w:val="none" w:sz="0" w:space="0" w:color="auto"/>
      </w:divBdr>
    </w:div>
    <w:div w:id="1079524703">
      <w:bodyDiv w:val="1"/>
      <w:marLeft w:val="0"/>
      <w:marRight w:val="0"/>
      <w:marTop w:val="0"/>
      <w:marBottom w:val="0"/>
      <w:divBdr>
        <w:top w:val="none" w:sz="0" w:space="0" w:color="auto"/>
        <w:left w:val="none" w:sz="0" w:space="0" w:color="auto"/>
        <w:bottom w:val="none" w:sz="0" w:space="0" w:color="auto"/>
        <w:right w:val="none" w:sz="0" w:space="0" w:color="auto"/>
      </w:divBdr>
    </w:div>
    <w:div w:id="1099912055">
      <w:bodyDiv w:val="1"/>
      <w:marLeft w:val="0"/>
      <w:marRight w:val="0"/>
      <w:marTop w:val="0"/>
      <w:marBottom w:val="0"/>
      <w:divBdr>
        <w:top w:val="none" w:sz="0" w:space="0" w:color="auto"/>
        <w:left w:val="none" w:sz="0" w:space="0" w:color="auto"/>
        <w:bottom w:val="none" w:sz="0" w:space="0" w:color="auto"/>
        <w:right w:val="none" w:sz="0" w:space="0" w:color="auto"/>
      </w:divBdr>
    </w:div>
    <w:div w:id="1113205736">
      <w:bodyDiv w:val="1"/>
      <w:marLeft w:val="0"/>
      <w:marRight w:val="0"/>
      <w:marTop w:val="0"/>
      <w:marBottom w:val="0"/>
      <w:divBdr>
        <w:top w:val="none" w:sz="0" w:space="0" w:color="auto"/>
        <w:left w:val="none" w:sz="0" w:space="0" w:color="auto"/>
        <w:bottom w:val="none" w:sz="0" w:space="0" w:color="auto"/>
        <w:right w:val="none" w:sz="0" w:space="0" w:color="auto"/>
      </w:divBdr>
    </w:div>
    <w:div w:id="1145314541">
      <w:bodyDiv w:val="1"/>
      <w:marLeft w:val="0"/>
      <w:marRight w:val="0"/>
      <w:marTop w:val="0"/>
      <w:marBottom w:val="0"/>
      <w:divBdr>
        <w:top w:val="none" w:sz="0" w:space="0" w:color="auto"/>
        <w:left w:val="none" w:sz="0" w:space="0" w:color="auto"/>
        <w:bottom w:val="none" w:sz="0" w:space="0" w:color="auto"/>
        <w:right w:val="none" w:sz="0" w:space="0" w:color="auto"/>
      </w:divBdr>
    </w:div>
    <w:div w:id="1177580566">
      <w:bodyDiv w:val="1"/>
      <w:marLeft w:val="0"/>
      <w:marRight w:val="0"/>
      <w:marTop w:val="0"/>
      <w:marBottom w:val="0"/>
      <w:divBdr>
        <w:top w:val="none" w:sz="0" w:space="0" w:color="auto"/>
        <w:left w:val="none" w:sz="0" w:space="0" w:color="auto"/>
        <w:bottom w:val="none" w:sz="0" w:space="0" w:color="auto"/>
        <w:right w:val="none" w:sz="0" w:space="0" w:color="auto"/>
      </w:divBdr>
    </w:div>
    <w:div w:id="1271203267">
      <w:bodyDiv w:val="1"/>
      <w:marLeft w:val="0"/>
      <w:marRight w:val="0"/>
      <w:marTop w:val="0"/>
      <w:marBottom w:val="0"/>
      <w:divBdr>
        <w:top w:val="none" w:sz="0" w:space="0" w:color="auto"/>
        <w:left w:val="none" w:sz="0" w:space="0" w:color="auto"/>
        <w:bottom w:val="none" w:sz="0" w:space="0" w:color="auto"/>
        <w:right w:val="none" w:sz="0" w:space="0" w:color="auto"/>
      </w:divBdr>
    </w:div>
    <w:div w:id="1271429943">
      <w:bodyDiv w:val="1"/>
      <w:marLeft w:val="0"/>
      <w:marRight w:val="0"/>
      <w:marTop w:val="0"/>
      <w:marBottom w:val="0"/>
      <w:divBdr>
        <w:top w:val="none" w:sz="0" w:space="0" w:color="auto"/>
        <w:left w:val="none" w:sz="0" w:space="0" w:color="auto"/>
        <w:bottom w:val="none" w:sz="0" w:space="0" w:color="auto"/>
        <w:right w:val="none" w:sz="0" w:space="0" w:color="auto"/>
      </w:divBdr>
    </w:div>
    <w:div w:id="1272586852">
      <w:bodyDiv w:val="1"/>
      <w:marLeft w:val="0"/>
      <w:marRight w:val="0"/>
      <w:marTop w:val="0"/>
      <w:marBottom w:val="0"/>
      <w:divBdr>
        <w:top w:val="none" w:sz="0" w:space="0" w:color="auto"/>
        <w:left w:val="none" w:sz="0" w:space="0" w:color="auto"/>
        <w:bottom w:val="none" w:sz="0" w:space="0" w:color="auto"/>
        <w:right w:val="none" w:sz="0" w:space="0" w:color="auto"/>
      </w:divBdr>
    </w:div>
    <w:div w:id="1331639431">
      <w:bodyDiv w:val="1"/>
      <w:marLeft w:val="0"/>
      <w:marRight w:val="0"/>
      <w:marTop w:val="0"/>
      <w:marBottom w:val="0"/>
      <w:divBdr>
        <w:top w:val="none" w:sz="0" w:space="0" w:color="auto"/>
        <w:left w:val="none" w:sz="0" w:space="0" w:color="auto"/>
        <w:bottom w:val="none" w:sz="0" w:space="0" w:color="auto"/>
        <w:right w:val="none" w:sz="0" w:space="0" w:color="auto"/>
      </w:divBdr>
    </w:div>
    <w:div w:id="1380591034">
      <w:bodyDiv w:val="1"/>
      <w:marLeft w:val="0"/>
      <w:marRight w:val="0"/>
      <w:marTop w:val="0"/>
      <w:marBottom w:val="0"/>
      <w:divBdr>
        <w:top w:val="none" w:sz="0" w:space="0" w:color="auto"/>
        <w:left w:val="none" w:sz="0" w:space="0" w:color="auto"/>
        <w:bottom w:val="none" w:sz="0" w:space="0" w:color="auto"/>
        <w:right w:val="none" w:sz="0" w:space="0" w:color="auto"/>
      </w:divBdr>
    </w:div>
    <w:div w:id="1541286007">
      <w:bodyDiv w:val="1"/>
      <w:marLeft w:val="0"/>
      <w:marRight w:val="0"/>
      <w:marTop w:val="0"/>
      <w:marBottom w:val="0"/>
      <w:divBdr>
        <w:top w:val="none" w:sz="0" w:space="0" w:color="auto"/>
        <w:left w:val="none" w:sz="0" w:space="0" w:color="auto"/>
        <w:bottom w:val="none" w:sz="0" w:space="0" w:color="auto"/>
        <w:right w:val="none" w:sz="0" w:space="0" w:color="auto"/>
      </w:divBdr>
    </w:div>
    <w:div w:id="1610116867">
      <w:bodyDiv w:val="1"/>
      <w:marLeft w:val="0"/>
      <w:marRight w:val="0"/>
      <w:marTop w:val="0"/>
      <w:marBottom w:val="0"/>
      <w:divBdr>
        <w:top w:val="none" w:sz="0" w:space="0" w:color="auto"/>
        <w:left w:val="none" w:sz="0" w:space="0" w:color="auto"/>
        <w:bottom w:val="none" w:sz="0" w:space="0" w:color="auto"/>
        <w:right w:val="none" w:sz="0" w:space="0" w:color="auto"/>
      </w:divBdr>
    </w:div>
    <w:div w:id="1626231859">
      <w:bodyDiv w:val="1"/>
      <w:marLeft w:val="0"/>
      <w:marRight w:val="0"/>
      <w:marTop w:val="0"/>
      <w:marBottom w:val="0"/>
      <w:divBdr>
        <w:top w:val="none" w:sz="0" w:space="0" w:color="auto"/>
        <w:left w:val="none" w:sz="0" w:space="0" w:color="auto"/>
        <w:bottom w:val="none" w:sz="0" w:space="0" w:color="auto"/>
        <w:right w:val="none" w:sz="0" w:space="0" w:color="auto"/>
      </w:divBdr>
    </w:div>
    <w:div w:id="1676804174">
      <w:bodyDiv w:val="1"/>
      <w:marLeft w:val="0"/>
      <w:marRight w:val="0"/>
      <w:marTop w:val="0"/>
      <w:marBottom w:val="0"/>
      <w:divBdr>
        <w:top w:val="none" w:sz="0" w:space="0" w:color="auto"/>
        <w:left w:val="none" w:sz="0" w:space="0" w:color="auto"/>
        <w:bottom w:val="none" w:sz="0" w:space="0" w:color="auto"/>
        <w:right w:val="none" w:sz="0" w:space="0" w:color="auto"/>
      </w:divBdr>
    </w:div>
    <w:div w:id="1688747342">
      <w:bodyDiv w:val="1"/>
      <w:marLeft w:val="0"/>
      <w:marRight w:val="0"/>
      <w:marTop w:val="0"/>
      <w:marBottom w:val="0"/>
      <w:divBdr>
        <w:top w:val="none" w:sz="0" w:space="0" w:color="auto"/>
        <w:left w:val="none" w:sz="0" w:space="0" w:color="auto"/>
        <w:bottom w:val="none" w:sz="0" w:space="0" w:color="auto"/>
        <w:right w:val="none" w:sz="0" w:space="0" w:color="auto"/>
      </w:divBdr>
    </w:div>
    <w:div w:id="1741634688">
      <w:bodyDiv w:val="1"/>
      <w:marLeft w:val="0"/>
      <w:marRight w:val="0"/>
      <w:marTop w:val="0"/>
      <w:marBottom w:val="0"/>
      <w:divBdr>
        <w:top w:val="none" w:sz="0" w:space="0" w:color="auto"/>
        <w:left w:val="none" w:sz="0" w:space="0" w:color="auto"/>
        <w:bottom w:val="none" w:sz="0" w:space="0" w:color="auto"/>
        <w:right w:val="none" w:sz="0" w:space="0" w:color="auto"/>
      </w:divBdr>
    </w:div>
    <w:div w:id="1771897217">
      <w:bodyDiv w:val="1"/>
      <w:marLeft w:val="0"/>
      <w:marRight w:val="0"/>
      <w:marTop w:val="0"/>
      <w:marBottom w:val="0"/>
      <w:divBdr>
        <w:top w:val="none" w:sz="0" w:space="0" w:color="auto"/>
        <w:left w:val="none" w:sz="0" w:space="0" w:color="auto"/>
        <w:bottom w:val="none" w:sz="0" w:space="0" w:color="auto"/>
        <w:right w:val="none" w:sz="0" w:space="0" w:color="auto"/>
      </w:divBdr>
    </w:div>
    <w:div w:id="1783571280">
      <w:bodyDiv w:val="1"/>
      <w:marLeft w:val="0"/>
      <w:marRight w:val="0"/>
      <w:marTop w:val="0"/>
      <w:marBottom w:val="0"/>
      <w:divBdr>
        <w:top w:val="none" w:sz="0" w:space="0" w:color="auto"/>
        <w:left w:val="none" w:sz="0" w:space="0" w:color="auto"/>
        <w:bottom w:val="none" w:sz="0" w:space="0" w:color="auto"/>
        <w:right w:val="none" w:sz="0" w:space="0" w:color="auto"/>
      </w:divBdr>
    </w:div>
    <w:div w:id="1787574368">
      <w:bodyDiv w:val="1"/>
      <w:marLeft w:val="0"/>
      <w:marRight w:val="0"/>
      <w:marTop w:val="0"/>
      <w:marBottom w:val="0"/>
      <w:divBdr>
        <w:top w:val="none" w:sz="0" w:space="0" w:color="auto"/>
        <w:left w:val="none" w:sz="0" w:space="0" w:color="auto"/>
        <w:bottom w:val="none" w:sz="0" w:space="0" w:color="auto"/>
        <w:right w:val="none" w:sz="0" w:space="0" w:color="auto"/>
      </w:divBdr>
    </w:div>
    <w:div w:id="1792285036">
      <w:bodyDiv w:val="1"/>
      <w:marLeft w:val="0"/>
      <w:marRight w:val="0"/>
      <w:marTop w:val="0"/>
      <w:marBottom w:val="0"/>
      <w:divBdr>
        <w:top w:val="none" w:sz="0" w:space="0" w:color="auto"/>
        <w:left w:val="none" w:sz="0" w:space="0" w:color="auto"/>
        <w:bottom w:val="none" w:sz="0" w:space="0" w:color="auto"/>
        <w:right w:val="none" w:sz="0" w:space="0" w:color="auto"/>
      </w:divBdr>
    </w:div>
    <w:div w:id="1819106815">
      <w:bodyDiv w:val="1"/>
      <w:marLeft w:val="0"/>
      <w:marRight w:val="0"/>
      <w:marTop w:val="0"/>
      <w:marBottom w:val="0"/>
      <w:divBdr>
        <w:top w:val="none" w:sz="0" w:space="0" w:color="auto"/>
        <w:left w:val="none" w:sz="0" w:space="0" w:color="auto"/>
        <w:bottom w:val="none" w:sz="0" w:space="0" w:color="auto"/>
        <w:right w:val="none" w:sz="0" w:space="0" w:color="auto"/>
      </w:divBdr>
    </w:div>
    <w:div w:id="2103259437">
      <w:bodyDiv w:val="1"/>
      <w:marLeft w:val="0"/>
      <w:marRight w:val="0"/>
      <w:marTop w:val="0"/>
      <w:marBottom w:val="0"/>
      <w:divBdr>
        <w:top w:val="none" w:sz="0" w:space="0" w:color="auto"/>
        <w:left w:val="none" w:sz="0" w:space="0" w:color="auto"/>
        <w:bottom w:val="none" w:sz="0" w:space="0" w:color="auto"/>
        <w:right w:val="none" w:sz="0" w:space="0" w:color="auto"/>
      </w:divBdr>
    </w:div>
    <w:div w:id="213347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6F0BF8D614AF44A5D6DC0280616DCF" ma:contentTypeVersion="4" ma:contentTypeDescription="Crear nuevo documento." ma:contentTypeScope="" ma:versionID="602eccf8f502629a38e68fc11e5c6f14">
  <xsd:schema xmlns:xsd="http://www.w3.org/2001/XMLSchema" xmlns:xs="http://www.w3.org/2001/XMLSchema" xmlns:p="http://schemas.microsoft.com/office/2006/metadata/properties" xmlns:ns2="9de9c5ee-45dd-4f90-a8de-ee9513170278" targetNamespace="http://schemas.microsoft.com/office/2006/metadata/properties" ma:root="true" ma:fieldsID="5135180bcd86fdde518ba4e7edb98449" ns2:_="">
    <xsd:import namespace="9de9c5ee-45dd-4f90-a8de-ee95131702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9c5ee-45dd-4f90-a8de-ee95131702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8DB969-31C9-412C-9A1B-D192E62BBCF2}">
  <ds:schemaRefs>
    <ds:schemaRef ds:uri="http://schemas.openxmlformats.org/officeDocument/2006/bibliography"/>
  </ds:schemaRefs>
</ds:datastoreItem>
</file>

<file path=customXml/itemProps2.xml><?xml version="1.0" encoding="utf-8"?>
<ds:datastoreItem xmlns:ds="http://schemas.openxmlformats.org/officeDocument/2006/customXml" ds:itemID="{EA449D46-65D5-4EC9-8D5E-6C257BC59FEB}"/>
</file>

<file path=customXml/itemProps3.xml><?xml version="1.0" encoding="utf-8"?>
<ds:datastoreItem xmlns:ds="http://schemas.openxmlformats.org/officeDocument/2006/customXml" ds:itemID="{2F9046B3-DD29-41F3-AC3F-2132E48C5014}"/>
</file>

<file path=customXml/itemProps4.xml><?xml version="1.0" encoding="utf-8"?>
<ds:datastoreItem xmlns:ds="http://schemas.openxmlformats.org/officeDocument/2006/customXml" ds:itemID="{AAC87F9A-FF33-4915-99EA-E35B936DA1BB}"/>
</file>

<file path=docProps/app.xml><?xml version="1.0" encoding="utf-8"?>
<Properties xmlns="http://schemas.openxmlformats.org/officeDocument/2006/extended-properties" xmlns:vt="http://schemas.openxmlformats.org/officeDocument/2006/docPropsVTypes">
  <Template>Normal.dotm</Template>
  <TotalTime>17</TotalTime>
  <Pages>3</Pages>
  <Words>1353</Words>
  <Characters>7445</Characters>
  <Application>Microsoft Office Word</Application>
  <DocSecurity>0</DocSecurity>
  <PresentationFormat/>
  <Lines>62</Lines>
  <Paragraphs>17</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SBS</dc:creator>
  <cp:keywords/>
  <dc:description/>
  <cp:lastModifiedBy>María Luz Rios Diestro</cp:lastModifiedBy>
  <cp:revision>7</cp:revision>
  <cp:lastPrinted>2025-02-03T20:34:00Z</cp:lastPrinted>
  <dcterms:created xsi:type="dcterms:W3CDTF">2025-02-03T20:30:00Z</dcterms:created>
  <dcterms:modified xsi:type="dcterms:W3CDTF">2025-02-03T20:53:00Z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0x010100126F0BF8D614AF44A5D6DC0280616DCF</vt:lpwstr>
  </property>
</Properties>
</file>